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514D8" w14:textId="2EFBFBC9" w:rsidR="005D6ABC" w:rsidRPr="009C5DBB" w:rsidRDefault="005D6ABC" w:rsidP="005D6ABC">
      <w:pPr>
        <w:spacing w:line="276" w:lineRule="auto"/>
        <w:jc w:val="right"/>
        <w:rPr>
          <w:bCs/>
          <w:szCs w:val="24"/>
          <w:lang w:val="ro-RO"/>
        </w:rPr>
      </w:pPr>
      <w:r w:rsidRPr="009C5DBB">
        <w:rPr>
          <w:bCs/>
          <w:szCs w:val="24"/>
          <w:lang w:val="ro-RO"/>
        </w:rPr>
        <w:t xml:space="preserve">Anexa </w:t>
      </w:r>
      <w:r w:rsidR="00FF182A">
        <w:rPr>
          <w:bCs/>
          <w:szCs w:val="24"/>
          <w:lang w:val="ro-RO"/>
        </w:rPr>
        <w:t>nr.</w:t>
      </w:r>
      <w:r w:rsidRPr="009C5DBB">
        <w:rPr>
          <w:bCs/>
          <w:szCs w:val="24"/>
          <w:lang w:val="ro-RO"/>
        </w:rPr>
        <w:t>1</w:t>
      </w:r>
    </w:p>
    <w:p w14:paraId="10BD859A" w14:textId="77777777" w:rsidR="005D6ABC" w:rsidRPr="009C5DBB" w:rsidRDefault="005D6ABC" w:rsidP="005D6ABC">
      <w:pPr>
        <w:spacing w:line="276" w:lineRule="auto"/>
        <w:jc w:val="both"/>
        <w:rPr>
          <w:szCs w:val="24"/>
          <w:lang w:val="ro-RO"/>
        </w:rPr>
      </w:pPr>
    </w:p>
    <w:p w14:paraId="51BB2455" w14:textId="77777777" w:rsidR="005D6ABC" w:rsidRPr="009C5DBB" w:rsidRDefault="005D6ABC" w:rsidP="005D6ABC">
      <w:pPr>
        <w:spacing w:line="276" w:lineRule="auto"/>
        <w:jc w:val="center"/>
        <w:rPr>
          <w:b/>
          <w:bCs/>
          <w:szCs w:val="24"/>
          <w:lang w:val="ro-RO"/>
        </w:rPr>
      </w:pPr>
      <w:r w:rsidRPr="009C5DBB">
        <w:rPr>
          <w:b/>
          <w:szCs w:val="24"/>
          <w:lang w:val="ro-RO"/>
        </w:rPr>
        <w:t xml:space="preserve">Modelul de evaluare </w:t>
      </w:r>
      <w:r w:rsidRPr="009C5DBB">
        <w:rPr>
          <w:b/>
          <w:bCs/>
          <w:szCs w:val="24"/>
          <w:lang w:val="ro-RO"/>
        </w:rPr>
        <w:t xml:space="preserve">a </w:t>
      </w:r>
      <w:bookmarkStart w:id="0" w:name="_Hlk167712201"/>
      <w:r w:rsidRPr="009C5DBB">
        <w:rPr>
          <w:b/>
          <w:bCs/>
          <w:szCs w:val="24"/>
          <w:lang w:val="ro-RO"/>
        </w:rPr>
        <w:t>caselor de locuit amplasate în localitățile rurale ale Republicii Moldova, cu excepția localităților rurale din municipiile Chișinău și Bălți</w:t>
      </w:r>
      <w:bookmarkEnd w:id="0"/>
      <w:r w:rsidRPr="009C5DBB">
        <w:rPr>
          <w:b/>
          <w:bCs/>
          <w:szCs w:val="24"/>
          <w:lang w:val="ro-RO"/>
        </w:rPr>
        <w:t xml:space="preserve">, </w:t>
      </w:r>
    </w:p>
    <w:p w14:paraId="136DC459" w14:textId="77777777" w:rsidR="005D6ABC" w:rsidRPr="009C5DBB" w:rsidRDefault="005D6ABC" w:rsidP="005D6ABC">
      <w:pPr>
        <w:spacing w:line="276" w:lineRule="auto"/>
        <w:jc w:val="center"/>
        <w:rPr>
          <w:b/>
          <w:szCs w:val="24"/>
          <w:lang w:val="ro-RO"/>
        </w:rPr>
      </w:pPr>
      <w:r w:rsidRPr="009C5DBB">
        <w:rPr>
          <w:b/>
          <w:bCs/>
          <w:szCs w:val="24"/>
          <w:lang w:val="ro-RO"/>
        </w:rPr>
        <w:t>în scopul impozitării</w:t>
      </w:r>
    </w:p>
    <w:p w14:paraId="75123A49" w14:textId="77777777" w:rsidR="005D6ABC" w:rsidRPr="009C5DBB" w:rsidRDefault="005D6ABC" w:rsidP="005D6ABC">
      <w:pPr>
        <w:spacing w:line="276" w:lineRule="auto"/>
        <w:jc w:val="both"/>
        <w:rPr>
          <w:szCs w:val="24"/>
          <w:lang w:val="ro-RO"/>
        </w:rPr>
      </w:pPr>
    </w:p>
    <w:p w14:paraId="5752E5F3" w14:textId="77777777" w:rsidR="005D6ABC" w:rsidRPr="009C5DBB" w:rsidRDefault="005D6ABC" w:rsidP="005D6ABC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În calitate de Obiect al evaluării se consideră:</w:t>
      </w:r>
    </w:p>
    <w:p w14:paraId="224C769E" w14:textId="77777777" w:rsidR="005D6ABC" w:rsidRPr="009C5DBB" w:rsidRDefault="005D6ABC" w:rsidP="005D6ABC">
      <w:pPr>
        <w:numPr>
          <w:ilvl w:val="0"/>
          <w:numId w:val="2"/>
        </w:numPr>
        <w:tabs>
          <w:tab w:val="left" w:pos="426"/>
        </w:tabs>
        <w:spacing w:line="276" w:lineRule="auto"/>
        <w:ind w:left="0" w:firstLine="284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 xml:space="preserve">Terenul destinat pentru construcția casei de locuit individuale sau </w:t>
      </w:r>
      <w:r w:rsidRPr="009C5DBB">
        <w:rPr>
          <w:szCs w:val="24"/>
          <w:lang w:val="ro-MD"/>
        </w:rPr>
        <w:t xml:space="preserve">teren </w:t>
      </w:r>
      <w:r w:rsidRPr="009C5DBB">
        <w:rPr>
          <w:szCs w:val="24"/>
          <w:lang w:val="ro-RO"/>
        </w:rPr>
        <w:t>aferent casei de locuit individuale, amplasat în localitățile rurale ale Republicii Moldova, cu excepția localităților rurale din municipiile Chișinău și Bălți</w:t>
      </w:r>
      <w:r w:rsidRPr="009C5DBB" w:rsidDel="00AB1479">
        <w:rPr>
          <w:szCs w:val="24"/>
          <w:lang w:val="ro-RO"/>
        </w:rPr>
        <w:t xml:space="preserve"> </w:t>
      </w:r>
      <w:r w:rsidRPr="009C5DBB">
        <w:rPr>
          <w:szCs w:val="24"/>
          <w:lang w:val="ro-RO"/>
        </w:rPr>
        <w:t>;</w:t>
      </w:r>
    </w:p>
    <w:p w14:paraId="6A6F4EFB" w14:textId="77777777" w:rsidR="005D6ABC" w:rsidRPr="009C5DBB" w:rsidRDefault="005D6ABC" w:rsidP="005D6ABC">
      <w:pPr>
        <w:numPr>
          <w:ilvl w:val="0"/>
          <w:numId w:val="2"/>
        </w:numPr>
        <w:tabs>
          <w:tab w:val="left" w:pos="426"/>
        </w:tabs>
        <w:spacing w:line="276" w:lineRule="auto"/>
        <w:ind w:left="0" w:firstLine="284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Casa de locuit individuală, amplasată în localitățile rurale ale Republicii Moldova, cu excepția localităților rurale din municipiile Chișinău și Bălți;</w:t>
      </w:r>
    </w:p>
    <w:p w14:paraId="4B35ED3E" w14:textId="77777777" w:rsidR="005D6ABC" w:rsidRPr="009C5DBB" w:rsidRDefault="005D6ABC" w:rsidP="005D6ABC">
      <w:pPr>
        <w:pStyle w:val="a7"/>
        <w:numPr>
          <w:ilvl w:val="0"/>
          <w:numId w:val="2"/>
        </w:numPr>
        <w:tabs>
          <w:tab w:val="left" w:pos="426"/>
        </w:tabs>
        <w:spacing w:line="276" w:lineRule="auto"/>
        <w:ind w:left="0" w:firstLine="284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Construcția accesorie, complementară casei de locuit individuale, amplasată în localitățile rurale ale Republicii Moldova, cu excepția localităților rurale din municipiile Chișinău și Bălți</w:t>
      </w:r>
      <w:r w:rsidRPr="009C5DBB">
        <w:rPr>
          <w:szCs w:val="24"/>
          <w:lang w:val="en-US"/>
        </w:rPr>
        <w:t>.</w:t>
      </w:r>
    </w:p>
    <w:p w14:paraId="6EDB393D" w14:textId="77777777" w:rsidR="005D6ABC" w:rsidRPr="009C5DBB" w:rsidRDefault="005D6ABC" w:rsidP="005D6ABC">
      <w:pPr>
        <w:pStyle w:val="a7"/>
        <w:spacing w:line="276" w:lineRule="auto"/>
        <w:ind w:left="0"/>
        <w:jc w:val="both"/>
        <w:rPr>
          <w:szCs w:val="24"/>
          <w:lang w:val="ro-RO"/>
        </w:rPr>
      </w:pPr>
    </w:p>
    <w:p w14:paraId="6B2FD191" w14:textId="77777777" w:rsidR="005D6ABC" w:rsidRPr="009C5DBB" w:rsidRDefault="005D6ABC" w:rsidP="005D6ABC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Valoarea estimată a terenului destinat pentru construcția casei de locuit individuale sau</w:t>
      </w:r>
      <w:r w:rsidRPr="009C5DBB">
        <w:rPr>
          <w:szCs w:val="24"/>
          <w:lang w:val="ro-MD"/>
        </w:rPr>
        <w:t xml:space="preserve"> teren</w:t>
      </w:r>
      <w:r w:rsidRPr="009C5DBB">
        <w:rPr>
          <w:szCs w:val="24"/>
          <w:lang w:val="ro-RO"/>
        </w:rPr>
        <w:t xml:space="preserve"> aferent casei individuale de locuit se va determina după următoarea formulă:</w:t>
      </w:r>
    </w:p>
    <w:p w14:paraId="2487A3FC" w14:textId="77777777" w:rsidR="005D6ABC" w:rsidRPr="00031C19" w:rsidRDefault="005D6ABC" w:rsidP="005D6ABC">
      <w:pPr>
        <w:pStyle w:val="a7"/>
        <w:spacing w:line="276" w:lineRule="auto"/>
        <w:ind w:left="360"/>
        <w:jc w:val="both"/>
        <w:rPr>
          <w:szCs w:val="24"/>
          <w:lang w:val="ro-RO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9214"/>
        <w:gridCol w:w="567"/>
      </w:tblGrid>
      <w:tr w:rsidR="00031C19" w:rsidRPr="00031C19" w14:paraId="35346A58" w14:textId="77777777" w:rsidTr="00953C93">
        <w:tc>
          <w:tcPr>
            <w:tcW w:w="9214" w:type="dxa"/>
            <w:shd w:val="clear" w:color="auto" w:fill="auto"/>
            <w:vAlign w:val="center"/>
          </w:tcPr>
          <w:p w14:paraId="02AABB37" w14:textId="400AEF34" w:rsidR="005D6ABC" w:rsidRPr="00031C19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031C19">
              <w:rPr>
                <w:b/>
                <w:szCs w:val="24"/>
                <w:lang w:val="ro-RO"/>
              </w:rPr>
              <w:t>V</w:t>
            </w:r>
            <w:r w:rsidRPr="00031C19">
              <w:rPr>
                <w:b/>
                <w:szCs w:val="24"/>
                <w:vertAlign w:val="subscript"/>
                <w:lang w:val="ro-RO"/>
              </w:rPr>
              <w:t>T</w:t>
            </w:r>
            <w:r w:rsidRPr="00031C19">
              <w:rPr>
                <w:b/>
                <w:szCs w:val="24"/>
                <w:lang w:val="ro-RO"/>
              </w:rPr>
              <w:t xml:space="preserve"> = </w:t>
            </w:r>
            <w:r w:rsidR="00F81B74" w:rsidRPr="00031C19">
              <w:rPr>
                <w:b/>
                <w:szCs w:val="24"/>
                <w:lang w:val="ro-RO"/>
              </w:rPr>
              <w:t>EXP(SInt.</w:t>
            </w:r>
            <w:r w:rsidR="00F81B74" w:rsidRPr="00031C19">
              <w:rPr>
                <w:b/>
                <w:szCs w:val="24"/>
                <w:vertAlign w:val="subscript"/>
                <w:lang w:val="ro-RO"/>
              </w:rPr>
              <w:t xml:space="preserve"> T </w:t>
            </w:r>
            <w:r w:rsidR="00F81B74" w:rsidRPr="00031C19">
              <w:rPr>
                <w:b/>
                <w:szCs w:val="24"/>
                <w:lang w:val="ro-RO"/>
              </w:rPr>
              <w:t>+</w:t>
            </w:r>
            <w:r w:rsidR="00F81B74" w:rsidRPr="00031C19">
              <w:rPr>
                <w:b/>
                <w:bCs/>
                <w:szCs w:val="24"/>
                <w:lang w:val="ro-RO"/>
              </w:rPr>
              <w:t xml:space="preserve"> KS</w:t>
            </w:r>
            <w:r w:rsidR="00F81B74" w:rsidRPr="00031C19">
              <w:rPr>
                <w:b/>
                <w:bCs/>
                <w:szCs w:val="24"/>
                <w:vertAlign w:val="subscript"/>
                <w:lang w:val="ro-RO"/>
              </w:rPr>
              <w:t xml:space="preserve">T </w:t>
            </w:r>
            <w:r w:rsidR="00F81B74" w:rsidRPr="00031C19">
              <w:rPr>
                <w:b/>
                <w:szCs w:val="24"/>
                <w:lang w:val="ro-RO"/>
              </w:rPr>
              <w:t>* Ln(</w:t>
            </w:r>
            <w:r w:rsidR="00F81B74" w:rsidRPr="00031C19">
              <w:rPr>
                <w:b/>
                <w:bCs/>
                <w:szCs w:val="24"/>
                <w:lang w:val="ro-RO"/>
              </w:rPr>
              <w:t>S</w:t>
            </w:r>
            <w:r w:rsidR="00F81B74" w:rsidRPr="00031C19">
              <w:rPr>
                <w:b/>
                <w:bCs/>
                <w:szCs w:val="24"/>
                <w:vertAlign w:val="subscript"/>
                <w:lang w:val="ro-RO"/>
              </w:rPr>
              <w:t>T</w:t>
            </w:r>
            <w:r w:rsidR="00F81B74" w:rsidRPr="00031C19">
              <w:rPr>
                <w:b/>
                <w:szCs w:val="24"/>
                <w:lang w:val="ro-RO"/>
              </w:rPr>
              <w:t>))</w:t>
            </w:r>
            <w:r w:rsidRPr="00031C19">
              <w:rPr>
                <w:b/>
                <w:szCs w:val="24"/>
                <w:lang w:val="ro-RO"/>
              </w:rPr>
              <w:t xml:space="preserve"> * KAjC</w:t>
            </w:r>
            <w:r w:rsidRPr="00031C19">
              <w:rPr>
                <w:rFonts w:eastAsia="Times New Roman"/>
                <w:b/>
                <w:szCs w:val="24"/>
                <w:lang w:val="ro-RO" w:eastAsia="ru-RU"/>
              </w:rPr>
              <w:t xml:space="preserve"> *</w:t>
            </w:r>
            <w:r w:rsidRPr="00031C19">
              <w:rPr>
                <w:b/>
                <w:szCs w:val="24"/>
                <w:lang w:val="ro-RO"/>
              </w:rPr>
              <w:t xml:space="preserve"> KTLoc</w:t>
            </w:r>
            <w:r w:rsidRPr="00031C19">
              <w:rPr>
                <w:rFonts w:ascii="Arial" w:hAnsi="Arial" w:cs="Arial"/>
                <w:szCs w:val="24"/>
                <w:shd w:val="clear" w:color="auto" w:fill="F9F9F9"/>
                <w:lang w:val="ro-RO"/>
              </w:rPr>
              <w:t>|</w:t>
            </w:r>
            <w:r w:rsidRPr="00031C19">
              <w:rPr>
                <w:b/>
                <w:szCs w:val="24"/>
                <w:lang w:val="ro-RO"/>
              </w:rPr>
              <w:t>Zonă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DCD716" w14:textId="77777777" w:rsidR="005D6ABC" w:rsidRPr="00031C19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031C19">
              <w:rPr>
                <w:bCs/>
                <w:szCs w:val="24"/>
                <w:lang w:val="ro-RO"/>
              </w:rPr>
              <w:t>(1)</w:t>
            </w:r>
          </w:p>
        </w:tc>
      </w:tr>
    </w:tbl>
    <w:p w14:paraId="36E08C68" w14:textId="77777777" w:rsidR="005D6ABC" w:rsidRPr="009C5DBB" w:rsidRDefault="005D6ABC" w:rsidP="005D6ABC">
      <w:pPr>
        <w:pStyle w:val="a7"/>
        <w:spacing w:line="276" w:lineRule="auto"/>
        <w:ind w:left="0"/>
        <w:jc w:val="both"/>
        <w:rPr>
          <w:szCs w:val="24"/>
          <w:lang w:val="ro-RO"/>
        </w:rPr>
      </w:pPr>
    </w:p>
    <w:p w14:paraId="5F7754D6" w14:textId="77777777" w:rsidR="005D6ABC" w:rsidRPr="009C5DBB" w:rsidRDefault="005D6ABC" w:rsidP="005D6ABC">
      <w:pPr>
        <w:pStyle w:val="a7"/>
        <w:spacing w:line="276" w:lineRule="auto"/>
        <w:ind w:left="0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unde:</w:t>
      </w:r>
      <w:r w:rsidRPr="009C5DBB">
        <w:rPr>
          <w:szCs w:val="24"/>
          <w:vertAlign w:val="subscript"/>
          <w:lang w:val="ro-RO"/>
        </w:rPr>
        <w:tab/>
      </w:r>
      <w:r w:rsidRPr="009C5DBB">
        <w:rPr>
          <w:szCs w:val="24"/>
          <w:lang w:val="ro-RO"/>
        </w:rPr>
        <w:t xml:space="preserve"> </w:t>
      </w:r>
    </w:p>
    <w:tbl>
      <w:tblPr>
        <w:tblW w:w="4973" w:type="pct"/>
        <w:tblLayout w:type="fixed"/>
        <w:tblLook w:val="04A0" w:firstRow="1" w:lastRow="0" w:firstColumn="1" w:lastColumn="0" w:noHBand="0" w:noVBand="1"/>
      </w:tblPr>
      <w:tblGrid>
        <w:gridCol w:w="994"/>
        <w:gridCol w:w="8310"/>
      </w:tblGrid>
      <w:tr w:rsidR="00031C19" w:rsidRPr="00031C19" w14:paraId="444D76A5" w14:textId="77777777" w:rsidTr="00953C93">
        <w:trPr>
          <w:trHeight w:val="315"/>
        </w:trPr>
        <w:tc>
          <w:tcPr>
            <w:tcW w:w="534" w:type="pct"/>
            <w:shd w:val="clear" w:color="auto" w:fill="auto"/>
            <w:noWrap/>
          </w:tcPr>
          <w:p w14:paraId="7FFE7486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b/>
                <w:bCs/>
                <w:szCs w:val="24"/>
                <w:lang w:val="ro-RO" w:eastAsia="ru-RU"/>
              </w:rPr>
            </w:pPr>
            <w:r w:rsidRPr="009C5DBB">
              <w:rPr>
                <w:b/>
                <w:bCs/>
                <w:szCs w:val="24"/>
                <w:lang w:val="ro-RO"/>
              </w:rPr>
              <w:t>V</w:t>
            </w:r>
            <w:r w:rsidRPr="009C5DBB">
              <w:rPr>
                <w:b/>
                <w:bCs/>
                <w:szCs w:val="24"/>
                <w:vertAlign w:val="subscript"/>
                <w:lang w:val="ro-RO"/>
              </w:rPr>
              <w:t>T</w:t>
            </w:r>
          </w:p>
        </w:tc>
        <w:tc>
          <w:tcPr>
            <w:tcW w:w="4466" w:type="pct"/>
            <w:shd w:val="clear" w:color="auto" w:fill="auto"/>
            <w:noWrap/>
          </w:tcPr>
          <w:p w14:paraId="5FC93043" w14:textId="7CCA87D6" w:rsidR="005D6ABC" w:rsidRPr="00031C19" w:rsidRDefault="005D6ABC" w:rsidP="00953C93">
            <w:pPr>
              <w:spacing w:line="276" w:lineRule="auto"/>
              <w:ind w:left="39" w:hanging="39"/>
              <w:jc w:val="both"/>
              <w:rPr>
                <w:szCs w:val="24"/>
                <w:lang w:val="ro-RO"/>
              </w:rPr>
            </w:pPr>
            <w:r w:rsidRPr="00031C19">
              <w:rPr>
                <w:szCs w:val="24"/>
                <w:lang w:val="ro-RO"/>
              </w:rPr>
              <w:t>– valoarea estimată a terenului destinat pentru construcția casei de locuit individuale sau</w:t>
            </w:r>
            <w:r w:rsidRPr="00031C19">
              <w:rPr>
                <w:szCs w:val="24"/>
                <w:lang w:val="en-US"/>
              </w:rPr>
              <w:t xml:space="preserve"> </w:t>
            </w:r>
            <w:proofErr w:type="spellStart"/>
            <w:r w:rsidRPr="00031C19">
              <w:rPr>
                <w:szCs w:val="24"/>
                <w:lang w:val="en-US"/>
              </w:rPr>
              <w:t>teren</w:t>
            </w:r>
            <w:proofErr w:type="spellEnd"/>
            <w:r w:rsidRPr="00031C19">
              <w:rPr>
                <w:szCs w:val="24"/>
                <w:lang w:val="ro-RO"/>
              </w:rPr>
              <w:t xml:space="preserve"> aferent casei individuale de locuit, lei.  Terenul se consideră o parte din teritoriu având hotare închise a cărei suprafață, al cărei amplasament și ale cărei caracteristici sânt reflectate în cadastrul bunurilor imobile, cu modul de folosință</w:t>
            </w:r>
            <w:r w:rsidR="008E2A02" w:rsidRPr="00031C19">
              <w:rPr>
                <w:lang w:val="en-US"/>
              </w:rPr>
              <w:t xml:space="preserve"> “t</w:t>
            </w:r>
            <w:r w:rsidR="008E2A02" w:rsidRPr="00031C19">
              <w:rPr>
                <w:szCs w:val="24"/>
                <w:lang w:val="ro-RO"/>
              </w:rPr>
              <w:t>eren pentru amplasarea construcțiilor locative” sau</w:t>
            </w:r>
            <w:r w:rsidRPr="00031C19">
              <w:rPr>
                <w:szCs w:val="24"/>
                <w:lang w:val="ro-RO"/>
              </w:rPr>
              <w:t xml:space="preserve"> „pentru construcții”, înregistrat în registrul bunurilor imobile, destinat pentru construcția casei de locuit individuale sau aferent casei individuale de locuit;</w:t>
            </w:r>
          </w:p>
        </w:tc>
      </w:tr>
      <w:tr w:rsidR="00031C19" w:rsidRPr="00031C19" w14:paraId="0C7DEDD9" w14:textId="77777777" w:rsidTr="00953C93">
        <w:trPr>
          <w:trHeight w:val="315"/>
        </w:trPr>
        <w:tc>
          <w:tcPr>
            <w:tcW w:w="534" w:type="pct"/>
            <w:shd w:val="clear" w:color="auto" w:fill="auto"/>
            <w:noWrap/>
            <w:hideMark/>
          </w:tcPr>
          <w:p w14:paraId="6ACD7EE4" w14:textId="21A89F15" w:rsidR="005D6ABC" w:rsidRPr="00031C19" w:rsidRDefault="00E62CC8" w:rsidP="00953C93">
            <w:pPr>
              <w:spacing w:line="276" w:lineRule="auto"/>
              <w:jc w:val="both"/>
              <w:rPr>
                <w:rFonts w:eastAsia="Times New Roman"/>
                <w:b/>
                <w:bCs/>
                <w:szCs w:val="24"/>
                <w:lang w:val="ro-RO" w:eastAsia="ru-RU"/>
              </w:rPr>
            </w:pPr>
            <w:r w:rsidRPr="00031C19">
              <w:rPr>
                <w:rFonts w:eastAsia="Times New Roman"/>
                <w:b/>
                <w:bCs/>
                <w:szCs w:val="24"/>
                <w:lang w:val="ro-RO" w:eastAsia="ru-RU"/>
              </w:rPr>
              <w:t>S</w:t>
            </w:r>
            <w:r w:rsidR="005D6ABC" w:rsidRPr="00031C19">
              <w:rPr>
                <w:rFonts w:eastAsia="Times New Roman"/>
                <w:b/>
                <w:bCs/>
                <w:szCs w:val="24"/>
                <w:lang w:val="ro-RO" w:eastAsia="ru-RU"/>
              </w:rPr>
              <w:t>Int.</w:t>
            </w:r>
            <w:r w:rsidR="005D6ABC" w:rsidRPr="00031C19">
              <w:rPr>
                <w:rFonts w:eastAsia="Times New Roman"/>
                <w:b/>
                <w:bCs/>
                <w:szCs w:val="24"/>
                <w:vertAlign w:val="subscript"/>
                <w:lang w:val="ro-RO" w:eastAsia="ru-RU"/>
              </w:rPr>
              <w:t>T</w:t>
            </w:r>
          </w:p>
        </w:tc>
        <w:tc>
          <w:tcPr>
            <w:tcW w:w="4466" w:type="pct"/>
            <w:shd w:val="clear" w:color="auto" w:fill="auto"/>
            <w:noWrap/>
            <w:hideMark/>
          </w:tcPr>
          <w:p w14:paraId="6889E0B2" w14:textId="475FB027" w:rsidR="005D6ABC" w:rsidRPr="00031C19" w:rsidRDefault="005D6ABC" w:rsidP="00953C93">
            <w:pPr>
              <w:spacing w:line="276" w:lineRule="auto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031C19">
              <w:rPr>
                <w:rFonts w:eastAsia="Times New Roman"/>
                <w:szCs w:val="24"/>
                <w:lang w:val="ro-RO" w:eastAsia="ru-RU"/>
              </w:rPr>
              <w:t xml:space="preserve">– </w:t>
            </w:r>
            <w:r w:rsidR="00E62CC8" w:rsidRPr="00031C19">
              <w:rPr>
                <w:rFonts w:eastAsia="Times New Roman"/>
                <w:szCs w:val="24"/>
                <w:lang w:val="ro-RO" w:eastAsia="ru-RU"/>
              </w:rPr>
              <w:t>Intercepta ecuației de regresie a factorului valoric “suprafața terenului”</w:t>
            </w:r>
            <w:r w:rsidRPr="00031C19">
              <w:rPr>
                <w:rFonts w:eastAsia="Times New Roman"/>
                <w:szCs w:val="24"/>
                <w:lang w:val="ro-RO" w:eastAsia="ru-RU"/>
              </w:rPr>
              <w:t>;</w:t>
            </w:r>
          </w:p>
        </w:tc>
      </w:tr>
      <w:tr w:rsidR="00031C19" w:rsidRPr="00031C19" w14:paraId="3C4137FE" w14:textId="77777777" w:rsidTr="00953C93">
        <w:trPr>
          <w:trHeight w:val="315"/>
        </w:trPr>
        <w:tc>
          <w:tcPr>
            <w:tcW w:w="534" w:type="pct"/>
            <w:shd w:val="clear" w:color="auto" w:fill="auto"/>
            <w:noWrap/>
            <w:hideMark/>
          </w:tcPr>
          <w:p w14:paraId="561A67DC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b/>
                <w:bCs/>
                <w:szCs w:val="24"/>
                <w:lang w:val="ro-RO" w:eastAsia="ru-RU"/>
              </w:rPr>
            </w:pPr>
            <w:r w:rsidRPr="009C5DBB">
              <w:rPr>
                <w:b/>
                <w:bCs/>
                <w:szCs w:val="24"/>
                <w:lang w:val="ro-RO"/>
              </w:rPr>
              <w:t>S</w:t>
            </w:r>
            <w:r w:rsidRPr="009C5DBB">
              <w:rPr>
                <w:b/>
                <w:bCs/>
                <w:szCs w:val="24"/>
                <w:vertAlign w:val="subscript"/>
                <w:lang w:val="ro-RO"/>
              </w:rPr>
              <w:t>T</w:t>
            </w:r>
          </w:p>
        </w:tc>
        <w:tc>
          <w:tcPr>
            <w:tcW w:w="4466" w:type="pct"/>
            <w:shd w:val="clear" w:color="auto" w:fill="auto"/>
            <w:noWrap/>
            <w:hideMark/>
          </w:tcPr>
          <w:p w14:paraId="4E0F4E72" w14:textId="77777777" w:rsidR="005D6ABC" w:rsidRPr="00031C19" w:rsidRDefault="005D6ABC" w:rsidP="00953C93">
            <w:pPr>
              <w:spacing w:line="276" w:lineRule="auto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031C19">
              <w:rPr>
                <w:szCs w:val="24"/>
                <w:lang w:val="ro-RO"/>
              </w:rPr>
              <w:t>–</w:t>
            </w:r>
            <w:r w:rsidRPr="00031C19">
              <w:rPr>
                <w:rFonts w:eastAsia="Times New Roman"/>
                <w:szCs w:val="24"/>
                <w:lang w:val="ro-RO" w:eastAsia="ru-RU"/>
              </w:rPr>
              <w:t xml:space="preserve"> suprafața terenului înregistrată în Registrul bunurilor imobile, convertită în metri pătrați (precizia 1,0);</w:t>
            </w:r>
          </w:p>
        </w:tc>
      </w:tr>
      <w:tr w:rsidR="005D6ABC" w:rsidRPr="00031C19" w14:paraId="5A5DE9FB" w14:textId="77777777" w:rsidTr="00953C93">
        <w:trPr>
          <w:trHeight w:val="315"/>
        </w:trPr>
        <w:tc>
          <w:tcPr>
            <w:tcW w:w="534" w:type="pct"/>
            <w:shd w:val="clear" w:color="auto" w:fill="auto"/>
            <w:noWrap/>
            <w:hideMark/>
          </w:tcPr>
          <w:p w14:paraId="2D0DD72D" w14:textId="3CF5B20B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b/>
                <w:bCs/>
                <w:szCs w:val="24"/>
                <w:lang w:val="ro-RO" w:eastAsia="ru-RU"/>
              </w:rPr>
            </w:pPr>
            <w:r w:rsidRPr="009C5DBB">
              <w:rPr>
                <w:b/>
                <w:bCs/>
                <w:szCs w:val="24"/>
                <w:lang w:val="ro-RO"/>
              </w:rPr>
              <w:t>KS</w:t>
            </w:r>
            <w:r w:rsidRPr="009C5DBB">
              <w:rPr>
                <w:b/>
                <w:bCs/>
                <w:szCs w:val="24"/>
                <w:vertAlign w:val="subscript"/>
                <w:lang w:val="ro-RO"/>
              </w:rPr>
              <w:t>T</w:t>
            </w:r>
          </w:p>
        </w:tc>
        <w:tc>
          <w:tcPr>
            <w:tcW w:w="4466" w:type="pct"/>
            <w:shd w:val="clear" w:color="auto" w:fill="auto"/>
            <w:noWrap/>
            <w:hideMark/>
          </w:tcPr>
          <w:p w14:paraId="0704B344" w14:textId="77777777" w:rsidR="005D6ABC" w:rsidRPr="009C5DBB" w:rsidRDefault="005D6ABC" w:rsidP="00953C93">
            <w:pPr>
              <w:spacing w:line="276" w:lineRule="auto"/>
              <w:jc w:val="both"/>
              <w:rPr>
                <w:szCs w:val="24"/>
                <w:lang w:val="ro-RO" w:eastAsia="ro-MD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 xml:space="preserve">– </w:t>
            </w:r>
            <w:r w:rsidRPr="009C5DBB">
              <w:rPr>
                <w:szCs w:val="24"/>
                <w:lang w:val="ro-RO"/>
              </w:rPr>
              <w:t>coeficientul factorului valoric „suprafața terenului”;</w:t>
            </w:r>
          </w:p>
        </w:tc>
      </w:tr>
      <w:tr w:rsidR="005D6ABC" w:rsidRPr="00031C19" w14:paraId="0B5A9B41" w14:textId="77777777" w:rsidTr="00953C93">
        <w:trPr>
          <w:trHeight w:val="315"/>
        </w:trPr>
        <w:tc>
          <w:tcPr>
            <w:tcW w:w="534" w:type="pct"/>
            <w:shd w:val="clear" w:color="auto" w:fill="auto"/>
            <w:noWrap/>
          </w:tcPr>
          <w:p w14:paraId="798866C7" w14:textId="77777777" w:rsidR="005D6ABC" w:rsidRPr="009C5DBB" w:rsidRDefault="005D6ABC" w:rsidP="00953C93">
            <w:pPr>
              <w:spacing w:line="276" w:lineRule="auto"/>
              <w:jc w:val="both"/>
              <w:rPr>
                <w:b/>
                <w:bCs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KAjC</w:t>
            </w:r>
          </w:p>
        </w:tc>
        <w:tc>
          <w:tcPr>
            <w:tcW w:w="4466" w:type="pct"/>
            <w:shd w:val="clear" w:color="auto" w:fill="auto"/>
            <w:noWrap/>
          </w:tcPr>
          <w:p w14:paraId="00DBCD2B" w14:textId="77777777" w:rsidR="005D6ABC" w:rsidRPr="009C5DBB" w:rsidRDefault="005D6ABC" w:rsidP="00953C93">
            <w:pPr>
              <w:spacing w:line="276" w:lineRule="auto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 xml:space="preserve">– coeficientul ajustărilor comune (se va determina conform formulei </w:t>
            </w:r>
            <w:r w:rsidRPr="009C5DBB">
              <w:rPr>
                <w:color w:val="000000"/>
                <w:szCs w:val="24"/>
                <w:lang w:val="ro-RO"/>
              </w:rPr>
              <w:t>4 din pct. 5</w:t>
            </w:r>
            <w:r w:rsidRPr="009C5DBB">
              <w:rPr>
                <w:szCs w:val="24"/>
                <w:lang w:val="ro-RO"/>
              </w:rPr>
              <w:t>);</w:t>
            </w:r>
          </w:p>
        </w:tc>
      </w:tr>
      <w:tr w:rsidR="005D6ABC" w:rsidRPr="00031C19" w14:paraId="59762E88" w14:textId="77777777" w:rsidTr="00953C93">
        <w:trPr>
          <w:trHeight w:val="315"/>
        </w:trPr>
        <w:tc>
          <w:tcPr>
            <w:tcW w:w="534" w:type="pct"/>
            <w:shd w:val="clear" w:color="auto" w:fill="auto"/>
            <w:noWrap/>
            <w:vAlign w:val="center"/>
          </w:tcPr>
          <w:p w14:paraId="2E02BBAC" w14:textId="77777777" w:rsidR="005D6ABC" w:rsidRPr="009C5DBB" w:rsidRDefault="005D6ABC" w:rsidP="00953C93">
            <w:pPr>
              <w:spacing w:line="276" w:lineRule="auto"/>
              <w:jc w:val="both"/>
              <w:rPr>
                <w:b/>
                <w:bCs/>
                <w:szCs w:val="24"/>
                <w:lang w:val="ro-RO"/>
              </w:rPr>
            </w:pPr>
            <w:r w:rsidRPr="009C5DBB">
              <w:rPr>
                <w:b/>
                <w:bCs/>
                <w:szCs w:val="24"/>
                <w:lang w:val="ro-RO"/>
              </w:rPr>
              <w:t>KTLoc</w:t>
            </w:r>
            <w:r w:rsidRPr="009C5DBB">
              <w:rPr>
                <w:rFonts w:ascii="Arial" w:hAnsi="Arial" w:cs="Arial"/>
                <w:color w:val="202122"/>
                <w:szCs w:val="24"/>
                <w:shd w:val="clear" w:color="auto" w:fill="F9F9F9"/>
                <w:lang w:val="ro-RO"/>
              </w:rPr>
              <w:t>|</w:t>
            </w:r>
            <w:r w:rsidRPr="009C5DBB">
              <w:rPr>
                <w:b/>
                <w:bCs/>
                <w:szCs w:val="24"/>
                <w:lang w:val="ro-RO"/>
              </w:rPr>
              <w:t>Zonă</w:t>
            </w:r>
          </w:p>
        </w:tc>
        <w:tc>
          <w:tcPr>
            <w:tcW w:w="4466" w:type="pct"/>
            <w:shd w:val="clear" w:color="auto" w:fill="auto"/>
            <w:noWrap/>
          </w:tcPr>
          <w:p w14:paraId="39E67729" w14:textId="77777777" w:rsidR="005D6ABC" w:rsidRPr="009C5DBB" w:rsidRDefault="005D6ABC" w:rsidP="00953C93">
            <w:pPr>
              <w:spacing w:line="276" w:lineRule="auto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>– coeficientul factorului valoric „localitatea/zona valorică”. Factorul valoric dat se determină conform anexei 2 la prezentul ordin;</w:t>
            </w:r>
          </w:p>
        </w:tc>
      </w:tr>
    </w:tbl>
    <w:p w14:paraId="25E3F644" w14:textId="66BBD34D" w:rsidR="00FF182A" w:rsidRDefault="00FF182A" w:rsidP="005D6ABC">
      <w:pPr>
        <w:pStyle w:val="a7"/>
        <w:spacing w:line="276" w:lineRule="auto"/>
        <w:ind w:left="360"/>
        <w:jc w:val="both"/>
        <w:rPr>
          <w:szCs w:val="24"/>
          <w:lang w:val="ro-RO"/>
        </w:rPr>
      </w:pPr>
    </w:p>
    <w:p w14:paraId="4EA62C01" w14:textId="77777777" w:rsidR="00FF182A" w:rsidRDefault="00FF182A">
      <w:pPr>
        <w:spacing w:after="160" w:line="259" w:lineRule="auto"/>
        <w:rPr>
          <w:szCs w:val="24"/>
          <w:lang w:val="ro-RO"/>
        </w:rPr>
      </w:pPr>
      <w:r>
        <w:rPr>
          <w:szCs w:val="24"/>
          <w:lang w:val="ro-RO"/>
        </w:rPr>
        <w:br w:type="page"/>
      </w:r>
    </w:p>
    <w:p w14:paraId="74573103" w14:textId="77777777" w:rsidR="005D6ABC" w:rsidRPr="009C5DBB" w:rsidRDefault="005D6ABC" w:rsidP="005D6ABC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lastRenderedPageBreak/>
        <w:t>Valoarea estimată a casei de locuit individuale se va determina după următoarea formulă:</w:t>
      </w:r>
    </w:p>
    <w:p w14:paraId="5000276A" w14:textId="77777777" w:rsidR="005D6ABC" w:rsidRPr="009C5DBB" w:rsidRDefault="005D6ABC" w:rsidP="005D6ABC">
      <w:pPr>
        <w:pStyle w:val="a7"/>
        <w:spacing w:line="276" w:lineRule="auto"/>
        <w:ind w:left="792"/>
        <w:jc w:val="both"/>
        <w:rPr>
          <w:szCs w:val="24"/>
          <w:lang w:val="ro-RO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8755"/>
        <w:gridCol w:w="992"/>
      </w:tblGrid>
      <w:tr w:rsidR="005D6ABC" w:rsidRPr="009C5DBB" w14:paraId="41887BA3" w14:textId="77777777" w:rsidTr="00953C93">
        <w:trPr>
          <w:trHeight w:val="623"/>
        </w:trPr>
        <w:tc>
          <w:tcPr>
            <w:tcW w:w="8755" w:type="dxa"/>
            <w:shd w:val="clear" w:color="auto" w:fill="auto"/>
            <w:vAlign w:val="center"/>
          </w:tcPr>
          <w:p w14:paraId="30F4F9EE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VC = EXP[(SInt+K</w:t>
            </w:r>
            <w:r w:rsidRPr="009C5DBB">
              <w:rPr>
                <w:b/>
                <w:szCs w:val="24"/>
                <w:vertAlign w:val="subscript"/>
                <w:lang w:val="ro-RO"/>
              </w:rPr>
              <w:t>S</w:t>
            </w:r>
            <w:r w:rsidRPr="009C5DBB">
              <w:rPr>
                <w:b/>
                <w:szCs w:val="24"/>
                <w:lang w:val="ro-RO"/>
              </w:rPr>
              <w:t>*Ln(S</w:t>
            </w:r>
            <w:r w:rsidRPr="009C5DBB">
              <w:rPr>
                <w:b/>
                <w:szCs w:val="24"/>
                <w:vertAlign w:val="subscript"/>
                <w:lang w:val="ro-RO"/>
              </w:rPr>
              <w:t>ext</w:t>
            </w:r>
            <w:r w:rsidRPr="009C5DBB">
              <w:rPr>
                <w:b/>
                <w:szCs w:val="24"/>
                <w:lang w:val="ro-RO"/>
              </w:rPr>
              <w:t>)) + (AInt.+ A*KA + A</w:t>
            </w:r>
            <w:r w:rsidRPr="009C5DBB">
              <w:rPr>
                <w:b/>
                <w:szCs w:val="24"/>
                <w:vertAlign w:val="superscript"/>
                <w:lang w:val="ro-RO"/>
              </w:rPr>
              <w:t>2</w:t>
            </w:r>
            <w:r w:rsidRPr="009C5DBB">
              <w:rPr>
                <w:b/>
                <w:szCs w:val="24"/>
                <w:lang w:val="ro-RO"/>
              </w:rPr>
              <w:t>*KA2 + A</w:t>
            </w:r>
            <w:r w:rsidRPr="009C5DBB">
              <w:rPr>
                <w:b/>
                <w:szCs w:val="24"/>
                <w:vertAlign w:val="superscript"/>
                <w:lang w:val="ro-RO"/>
              </w:rPr>
              <w:t>3</w:t>
            </w:r>
            <w:r w:rsidRPr="009C5DBB">
              <w:rPr>
                <w:b/>
                <w:szCs w:val="24"/>
                <w:lang w:val="ro-RO"/>
              </w:rPr>
              <w:t>*KA3) + KMP + KST] * KAjC * GDF * KCLoc</w:t>
            </w:r>
            <w:r w:rsidRPr="009C5DBB">
              <w:rPr>
                <w:rFonts w:ascii="Arial" w:hAnsi="Arial" w:cs="Arial"/>
                <w:color w:val="202122"/>
                <w:szCs w:val="24"/>
                <w:shd w:val="clear" w:color="auto" w:fill="F9F9F9"/>
                <w:lang w:val="ro-RO"/>
              </w:rPr>
              <w:t>|</w:t>
            </w:r>
            <w:r w:rsidRPr="009C5DBB">
              <w:rPr>
                <w:b/>
                <w:szCs w:val="24"/>
                <w:lang w:val="ro-RO"/>
              </w:rPr>
              <w:t>Zonă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24F2EE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9C5DBB">
              <w:rPr>
                <w:bCs/>
                <w:szCs w:val="24"/>
                <w:lang w:val="ro-RO"/>
              </w:rPr>
              <w:t>(2)</w:t>
            </w:r>
          </w:p>
        </w:tc>
      </w:tr>
    </w:tbl>
    <w:p w14:paraId="2BFBFAA0" w14:textId="77777777" w:rsidR="005D6ABC" w:rsidRPr="009C5DBB" w:rsidRDefault="005D6ABC" w:rsidP="005D6ABC">
      <w:pPr>
        <w:pStyle w:val="a7"/>
        <w:spacing w:line="276" w:lineRule="auto"/>
        <w:ind w:left="792"/>
        <w:jc w:val="both"/>
        <w:rPr>
          <w:szCs w:val="24"/>
          <w:lang w:val="ro-RO"/>
        </w:rPr>
      </w:pPr>
    </w:p>
    <w:p w14:paraId="7CCAA0DE" w14:textId="77777777" w:rsidR="005D6ABC" w:rsidRPr="009C5DBB" w:rsidRDefault="005D6ABC" w:rsidP="005D6ABC">
      <w:pPr>
        <w:pStyle w:val="a7"/>
        <w:spacing w:line="276" w:lineRule="auto"/>
        <w:ind w:left="0"/>
        <w:rPr>
          <w:szCs w:val="24"/>
          <w:lang w:val="ro-RO"/>
        </w:rPr>
      </w:pPr>
      <w:r w:rsidRPr="009C5DBB">
        <w:rPr>
          <w:szCs w:val="24"/>
          <w:lang w:val="ro-RO"/>
        </w:rPr>
        <w:t>unde:</w:t>
      </w:r>
    </w:p>
    <w:p w14:paraId="048A4F33" w14:textId="77777777" w:rsidR="005D6ABC" w:rsidRPr="009C5DBB" w:rsidRDefault="005D6ABC" w:rsidP="005D6ABC">
      <w:pPr>
        <w:pStyle w:val="a7"/>
        <w:spacing w:line="276" w:lineRule="auto"/>
        <w:ind w:left="0"/>
        <w:rPr>
          <w:szCs w:val="24"/>
          <w:lang w:val="ro-RO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80"/>
        <w:gridCol w:w="8375"/>
      </w:tblGrid>
      <w:tr w:rsidR="005D6ABC" w:rsidRPr="00031C19" w14:paraId="06BFCD0B" w14:textId="77777777" w:rsidTr="00953C93">
        <w:tc>
          <w:tcPr>
            <w:tcW w:w="524" w:type="pct"/>
            <w:shd w:val="clear" w:color="auto" w:fill="auto"/>
          </w:tcPr>
          <w:p w14:paraId="490D1664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VC</w:t>
            </w:r>
          </w:p>
        </w:tc>
        <w:tc>
          <w:tcPr>
            <w:tcW w:w="4476" w:type="pct"/>
            <w:shd w:val="clear" w:color="auto" w:fill="auto"/>
          </w:tcPr>
          <w:p w14:paraId="1620E361" w14:textId="77777777" w:rsidR="005D6ABC" w:rsidRPr="009C5DBB" w:rsidRDefault="005D6ABC" w:rsidP="00953C93">
            <w:pPr>
              <w:pStyle w:val="a7"/>
              <w:numPr>
                <w:ilvl w:val="0"/>
                <w:numId w:val="3"/>
              </w:numPr>
              <w:tabs>
                <w:tab w:val="left" w:pos="184"/>
              </w:tabs>
              <w:spacing w:line="276" w:lineRule="auto"/>
              <w:ind w:left="0" w:firstLine="42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 xml:space="preserve"> valoarea estimată a casei de locuit individuale, lei.  Se consideră casă individuală de locuit, construcția înregistrată cu modul de folosință  „casă de locuit individuală” în Registrul bunurilor imobile;</w:t>
            </w:r>
          </w:p>
        </w:tc>
      </w:tr>
      <w:tr w:rsidR="005D6ABC" w:rsidRPr="00031C19" w14:paraId="4AE99AB6" w14:textId="77777777" w:rsidTr="00953C93">
        <w:tc>
          <w:tcPr>
            <w:tcW w:w="524" w:type="pct"/>
            <w:shd w:val="clear" w:color="auto" w:fill="auto"/>
          </w:tcPr>
          <w:p w14:paraId="0729D972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SInt.</w:t>
            </w:r>
          </w:p>
        </w:tc>
        <w:tc>
          <w:tcPr>
            <w:tcW w:w="4476" w:type="pct"/>
            <w:shd w:val="clear" w:color="auto" w:fill="auto"/>
          </w:tcPr>
          <w:p w14:paraId="6B879199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 xml:space="preserve">–  </w:t>
            </w:r>
            <w:r w:rsidRPr="009C5DBB">
              <w:rPr>
                <w:color w:val="000000"/>
                <w:szCs w:val="24"/>
                <w:lang w:val="ro-RO"/>
              </w:rPr>
              <w:t>intercepta ecuației de regresie pentru factorul valoric „suprafața totală exterioară”</w:t>
            </w:r>
            <w:r w:rsidRPr="009C5DBB">
              <w:rPr>
                <w:rFonts w:eastAsia="Times New Roman"/>
                <w:szCs w:val="24"/>
                <w:lang w:val="ro-RO" w:eastAsia="ru-RU"/>
              </w:rPr>
              <w:t>;</w:t>
            </w:r>
          </w:p>
        </w:tc>
      </w:tr>
      <w:tr w:rsidR="005D6ABC" w:rsidRPr="00031C19" w14:paraId="24521CB4" w14:textId="77777777" w:rsidTr="00953C93">
        <w:tc>
          <w:tcPr>
            <w:tcW w:w="524" w:type="pct"/>
            <w:shd w:val="clear" w:color="auto" w:fill="auto"/>
          </w:tcPr>
          <w:p w14:paraId="7EE102F8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S</w:t>
            </w:r>
            <w:r w:rsidRPr="009C5DBB">
              <w:rPr>
                <w:b/>
                <w:szCs w:val="24"/>
                <w:vertAlign w:val="subscript"/>
                <w:lang w:val="ro-RO"/>
              </w:rPr>
              <w:t>ext</w:t>
            </w:r>
          </w:p>
        </w:tc>
        <w:tc>
          <w:tcPr>
            <w:tcW w:w="4476" w:type="pct"/>
            <w:shd w:val="clear" w:color="auto" w:fill="auto"/>
          </w:tcPr>
          <w:p w14:paraId="193BCF8B" w14:textId="77777777" w:rsidR="005D6ABC" w:rsidRPr="009C5DBB" w:rsidRDefault="005D6ABC" w:rsidP="00953C93">
            <w:pPr>
              <w:tabs>
                <w:tab w:val="left" w:pos="1134"/>
              </w:tabs>
              <w:spacing w:line="276" w:lineRule="auto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 xml:space="preserve">– suprafața totală exterioară a casei de locuit individuale, m.p. </w:t>
            </w:r>
            <w:r w:rsidRPr="009C5DBB">
              <w:rPr>
                <w:bCs/>
                <w:szCs w:val="24"/>
                <w:lang w:val="ro-RO"/>
              </w:rPr>
              <w:t>Suprafața totală exterioară</w:t>
            </w:r>
            <w:r w:rsidRPr="009C5DBB">
              <w:rPr>
                <w:szCs w:val="24"/>
                <w:lang w:val="ro-RO"/>
              </w:rPr>
              <w:t xml:space="preserve"> constituie suprafața calculată în baza măsurărilor efectuate pe conturul exterior al pereților externi (mai sus de soclu) ai construcției.</w:t>
            </w:r>
            <w:r w:rsidRPr="009C5DBB">
              <w:rPr>
                <w:bCs/>
                <w:szCs w:val="24"/>
                <w:lang w:val="ro-RO"/>
              </w:rPr>
              <w:t xml:space="preserve"> În suprafața totală exterioară, </w:t>
            </w:r>
            <w:r w:rsidRPr="009C5DBB">
              <w:rPr>
                <w:iCs/>
                <w:szCs w:val="24"/>
                <w:lang w:val="ro-RO"/>
              </w:rPr>
              <w:t>se include suma</w:t>
            </w:r>
            <w:r w:rsidRPr="009C5DBB">
              <w:rPr>
                <w:bCs/>
                <w:szCs w:val="24"/>
                <w:lang w:val="ro-RO"/>
              </w:rPr>
              <w:t xml:space="preserve"> suprafețelor exterioare a fiecărui etaj terestru, suprafața exterioară a mansardei, suprafața exterioară a anexelor și suprafața bovindourilor. </w:t>
            </w:r>
          </w:p>
          <w:p w14:paraId="2695CD42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Cs/>
                <w:szCs w:val="24"/>
                <w:lang w:val="ro-RO"/>
              </w:rPr>
            </w:pPr>
            <w:r w:rsidRPr="009C5DBB">
              <w:rPr>
                <w:bCs/>
                <w:szCs w:val="24"/>
                <w:lang w:val="ro-RO"/>
              </w:rPr>
              <w:t>În suprafața totală exterioară nu se include suprafața subsolului, demisolului, etajului tehnic. De asemenea, în suprafața totală exterioară nu se includ suprafețele balcoanelor, logiilor, teraselor, pridvoarelor.</w:t>
            </w:r>
          </w:p>
          <w:p w14:paraId="5BF01492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Cs/>
                <w:szCs w:val="24"/>
                <w:lang w:val="ro-RO"/>
              </w:rPr>
            </w:pPr>
            <w:r w:rsidRPr="009C5DBB">
              <w:rPr>
                <w:bCs/>
                <w:szCs w:val="24"/>
                <w:lang w:val="ro-RO"/>
              </w:rPr>
              <w:t>În cazul lipsei informației despre suprafața totală exterioară a casei de locuit individuale, aceasta se va calcula prin utilizarea informației despre suprafața la sol a construcției, înregistrată în Registrul bunurilor imobile, multiplicată la numărul de etaje terestre.</w:t>
            </w:r>
          </w:p>
        </w:tc>
      </w:tr>
      <w:tr w:rsidR="005D6ABC" w:rsidRPr="00031C19" w14:paraId="5AFEAEC5" w14:textId="77777777" w:rsidTr="00953C93">
        <w:tc>
          <w:tcPr>
            <w:tcW w:w="524" w:type="pct"/>
            <w:shd w:val="clear" w:color="auto" w:fill="auto"/>
          </w:tcPr>
          <w:p w14:paraId="7D23DBEF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vertAlign w:val="subscript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</w:t>
            </w:r>
            <w:r w:rsidRPr="009C5DBB">
              <w:rPr>
                <w:b/>
                <w:szCs w:val="24"/>
                <w:vertAlign w:val="subscript"/>
                <w:lang w:val="ro-RO"/>
              </w:rPr>
              <w:t>s</w:t>
            </w:r>
          </w:p>
        </w:tc>
        <w:tc>
          <w:tcPr>
            <w:tcW w:w="4476" w:type="pct"/>
            <w:shd w:val="clear" w:color="auto" w:fill="auto"/>
          </w:tcPr>
          <w:p w14:paraId="63B96904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>– coeficientul factorului valoric „suprafața totală exterioară”</w:t>
            </w: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>;</w:t>
            </w:r>
          </w:p>
        </w:tc>
      </w:tr>
      <w:tr w:rsidR="005D6ABC" w:rsidRPr="00031C19" w14:paraId="6B5FC9F8" w14:textId="77777777" w:rsidTr="00953C93">
        <w:tc>
          <w:tcPr>
            <w:tcW w:w="524" w:type="pct"/>
            <w:shd w:val="clear" w:color="auto" w:fill="auto"/>
          </w:tcPr>
          <w:p w14:paraId="7783A01E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AInt.</w:t>
            </w:r>
          </w:p>
        </w:tc>
        <w:tc>
          <w:tcPr>
            <w:tcW w:w="4476" w:type="pct"/>
            <w:shd w:val="clear" w:color="auto" w:fill="auto"/>
          </w:tcPr>
          <w:p w14:paraId="0FA295F6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intercepta ecuației de regresie pentru factorul valoric „vârsta cronologică”;</w:t>
            </w:r>
          </w:p>
        </w:tc>
      </w:tr>
      <w:tr w:rsidR="005D6ABC" w:rsidRPr="00031C19" w14:paraId="0D01561D" w14:textId="77777777" w:rsidTr="00953C93">
        <w:tc>
          <w:tcPr>
            <w:tcW w:w="524" w:type="pct"/>
            <w:shd w:val="clear" w:color="auto" w:fill="auto"/>
          </w:tcPr>
          <w:p w14:paraId="54D4137F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A</w:t>
            </w:r>
          </w:p>
        </w:tc>
        <w:tc>
          <w:tcPr>
            <w:tcW w:w="4476" w:type="pct"/>
            <w:shd w:val="clear" w:color="auto" w:fill="auto"/>
          </w:tcPr>
          <w:p w14:paraId="66FCD842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vârsta cronologică, ani (precizia 1,0). Vârsta cronologică se calculează ca diferență dintre anul evaluării/reevaluării masive și anul construcției / dării în exploatare a construcției;</w:t>
            </w:r>
          </w:p>
        </w:tc>
      </w:tr>
      <w:tr w:rsidR="005D6ABC" w:rsidRPr="00031C19" w14:paraId="3DFC9813" w14:textId="77777777" w:rsidTr="00953C93">
        <w:tc>
          <w:tcPr>
            <w:tcW w:w="524" w:type="pct"/>
            <w:shd w:val="clear" w:color="auto" w:fill="auto"/>
          </w:tcPr>
          <w:p w14:paraId="07514CDD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</w:t>
            </w:r>
          </w:p>
        </w:tc>
        <w:tc>
          <w:tcPr>
            <w:tcW w:w="4476" w:type="pct"/>
            <w:shd w:val="clear" w:color="auto" w:fill="auto"/>
          </w:tcPr>
          <w:p w14:paraId="54FE61D9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coeficientul factorului valoric „vârsta cronologică”;</w:t>
            </w:r>
          </w:p>
        </w:tc>
      </w:tr>
      <w:tr w:rsidR="005D6ABC" w:rsidRPr="00031C19" w14:paraId="262F9C3B" w14:textId="77777777" w:rsidTr="00953C93">
        <w:tc>
          <w:tcPr>
            <w:tcW w:w="524" w:type="pct"/>
            <w:shd w:val="clear" w:color="auto" w:fill="auto"/>
          </w:tcPr>
          <w:p w14:paraId="1E62ED5E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A</w:t>
            </w:r>
            <w:r w:rsidRPr="009C5DBB">
              <w:rPr>
                <w:b/>
                <w:szCs w:val="24"/>
                <w:vertAlign w:val="superscript"/>
                <w:lang w:val="ro-RO"/>
              </w:rPr>
              <w:t>2</w:t>
            </w:r>
          </w:p>
        </w:tc>
        <w:tc>
          <w:tcPr>
            <w:tcW w:w="4476" w:type="pct"/>
            <w:shd w:val="clear" w:color="auto" w:fill="auto"/>
          </w:tcPr>
          <w:p w14:paraId="5438E82B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funcția pătratică a factorului valoric „vârsta cronologică”</w:t>
            </w: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>;</w:t>
            </w:r>
          </w:p>
        </w:tc>
      </w:tr>
      <w:tr w:rsidR="005D6ABC" w:rsidRPr="00031C19" w14:paraId="5471F4A1" w14:textId="77777777" w:rsidTr="00953C93">
        <w:tc>
          <w:tcPr>
            <w:tcW w:w="524" w:type="pct"/>
            <w:shd w:val="clear" w:color="auto" w:fill="auto"/>
          </w:tcPr>
          <w:p w14:paraId="0B893869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KA2</w:t>
            </w:r>
          </w:p>
        </w:tc>
        <w:tc>
          <w:tcPr>
            <w:tcW w:w="4476" w:type="pct"/>
            <w:shd w:val="clear" w:color="auto" w:fill="auto"/>
          </w:tcPr>
          <w:p w14:paraId="2A45D7BB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 xml:space="preserve">coeficientul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factorului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 xml:space="preserve"> valoric</w:t>
            </w:r>
            <w:r w:rsidRPr="009C5DBB">
              <w:rPr>
                <w:bCs/>
                <w:color w:val="000000"/>
                <w:szCs w:val="24"/>
                <w:lang w:val="ro-RO"/>
              </w:rPr>
              <w:t xml:space="preserve">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„vârsta cronologică” în cadrul funcției pătratice;</w:t>
            </w:r>
          </w:p>
        </w:tc>
      </w:tr>
      <w:tr w:rsidR="005D6ABC" w:rsidRPr="00031C19" w14:paraId="731220D6" w14:textId="77777777" w:rsidTr="00953C93">
        <w:tc>
          <w:tcPr>
            <w:tcW w:w="524" w:type="pct"/>
            <w:shd w:val="clear" w:color="auto" w:fill="auto"/>
          </w:tcPr>
          <w:p w14:paraId="32C29A35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A</w:t>
            </w:r>
            <w:r w:rsidRPr="009C5DBB">
              <w:rPr>
                <w:b/>
                <w:szCs w:val="24"/>
                <w:vertAlign w:val="superscript"/>
                <w:lang w:val="ro-RO"/>
              </w:rPr>
              <w:t>3</w:t>
            </w:r>
          </w:p>
        </w:tc>
        <w:tc>
          <w:tcPr>
            <w:tcW w:w="4476" w:type="pct"/>
            <w:shd w:val="clear" w:color="auto" w:fill="auto"/>
          </w:tcPr>
          <w:p w14:paraId="6EA2B54C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rFonts w:eastAsia="Times New Roman"/>
                <w:szCs w:val="24"/>
                <w:lang w:val="ro-RO" w:eastAsia="ru-RU"/>
              </w:rPr>
              <w:t xml:space="preserve">funcția cubică a factorului 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>valoric</w:t>
            </w:r>
            <w:r w:rsidRPr="009C5DBB">
              <w:rPr>
                <w:bCs/>
                <w:color w:val="000000"/>
                <w:szCs w:val="24"/>
                <w:lang w:val="ro-RO"/>
              </w:rPr>
              <w:t xml:space="preserve">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„vârsta cronologică”</w:t>
            </w: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>;</w:t>
            </w:r>
          </w:p>
        </w:tc>
      </w:tr>
      <w:tr w:rsidR="005D6ABC" w:rsidRPr="00031C19" w14:paraId="077D8C92" w14:textId="77777777" w:rsidTr="00953C93">
        <w:tc>
          <w:tcPr>
            <w:tcW w:w="524" w:type="pct"/>
            <w:shd w:val="clear" w:color="auto" w:fill="auto"/>
          </w:tcPr>
          <w:p w14:paraId="1982B83E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KA3</w:t>
            </w:r>
          </w:p>
        </w:tc>
        <w:tc>
          <w:tcPr>
            <w:tcW w:w="4476" w:type="pct"/>
            <w:shd w:val="clear" w:color="auto" w:fill="auto"/>
          </w:tcPr>
          <w:p w14:paraId="46E2D7CC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 xml:space="preserve">coeficientul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factorului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 xml:space="preserve"> valoric</w:t>
            </w:r>
            <w:r w:rsidRPr="009C5DBB">
              <w:rPr>
                <w:bCs/>
                <w:color w:val="000000"/>
                <w:szCs w:val="24"/>
                <w:lang w:val="ro-RO"/>
              </w:rPr>
              <w:t xml:space="preserve">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„vârsta cronologică” în cadrul funcției cubice;</w:t>
            </w:r>
          </w:p>
        </w:tc>
      </w:tr>
      <w:tr w:rsidR="005D6ABC" w:rsidRPr="00031C19" w14:paraId="22B3358E" w14:textId="77777777" w:rsidTr="00953C93">
        <w:tc>
          <w:tcPr>
            <w:tcW w:w="524" w:type="pct"/>
            <w:shd w:val="clear" w:color="auto" w:fill="auto"/>
          </w:tcPr>
          <w:p w14:paraId="7686803F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KMP</w:t>
            </w:r>
          </w:p>
        </w:tc>
        <w:tc>
          <w:tcPr>
            <w:tcW w:w="4476" w:type="pct"/>
            <w:shd w:val="clear" w:color="auto" w:fill="auto"/>
          </w:tcPr>
          <w:p w14:paraId="20F2EE78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bCs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szCs w:val="24"/>
                <w:lang w:val="ro-RO"/>
              </w:rPr>
              <w:t>coeficientul factorului valoric „materialul pereților”. Materialul pereților reprezintă tipul materialului predominant al pereților exteriori ai construcției;</w:t>
            </w:r>
          </w:p>
        </w:tc>
      </w:tr>
      <w:tr w:rsidR="005D6ABC" w:rsidRPr="00031C19" w14:paraId="340DF190" w14:textId="77777777" w:rsidTr="00953C93">
        <w:tc>
          <w:tcPr>
            <w:tcW w:w="524" w:type="pct"/>
            <w:shd w:val="clear" w:color="auto" w:fill="auto"/>
          </w:tcPr>
          <w:p w14:paraId="501A58C2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KST</w:t>
            </w:r>
          </w:p>
        </w:tc>
        <w:tc>
          <w:tcPr>
            <w:tcW w:w="4476" w:type="pct"/>
            <w:shd w:val="clear" w:color="auto" w:fill="auto"/>
          </w:tcPr>
          <w:p w14:paraId="1DCBF1F4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szCs w:val="24"/>
                <w:lang w:val="ro-RO"/>
              </w:rPr>
              <w:t>coeficientul factorului valoric „starea tehnică a construcției”;</w:t>
            </w:r>
          </w:p>
        </w:tc>
      </w:tr>
      <w:tr w:rsidR="005D6ABC" w:rsidRPr="00031C19" w14:paraId="7D9F68FB" w14:textId="77777777" w:rsidTr="00953C93">
        <w:tc>
          <w:tcPr>
            <w:tcW w:w="524" w:type="pct"/>
            <w:shd w:val="clear" w:color="auto" w:fill="auto"/>
          </w:tcPr>
          <w:p w14:paraId="15F8E593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GDF</w:t>
            </w:r>
          </w:p>
        </w:tc>
        <w:tc>
          <w:tcPr>
            <w:tcW w:w="4476" w:type="pct"/>
            <w:shd w:val="clear" w:color="auto" w:fill="auto"/>
          </w:tcPr>
          <w:p w14:paraId="088BFE17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szCs w:val="24"/>
                <w:lang w:val="ro-RO"/>
              </w:rPr>
              <w:t>– c</w:t>
            </w:r>
            <w:r w:rsidRPr="009C5DBB">
              <w:rPr>
                <w:iCs/>
                <w:szCs w:val="24"/>
                <w:lang w:val="ro-RO"/>
              </w:rPr>
              <w:t>oeficientul ce exprimă g</w:t>
            </w:r>
            <w:r w:rsidRPr="009C5DBB">
              <w:rPr>
                <w:rFonts w:eastAsia="Times New Roman"/>
                <w:szCs w:val="24"/>
                <w:lang w:val="ro-RO" w:eastAsia="ru-RU"/>
              </w:rPr>
              <w:t>radul de finalizare a casei de locuit individuale (precizia 0,01);</w:t>
            </w:r>
          </w:p>
        </w:tc>
      </w:tr>
      <w:tr w:rsidR="005D6ABC" w:rsidRPr="00031C19" w14:paraId="35C3D70E" w14:textId="77777777" w:rsidTr="00953C93">
        <w:tc>
          <w:tcPr>
            <w:tcW w:w="524" w:type="pct"/>
            <w:shd w:val="clear" w:color="auto" w:fill="auto"/>
          </w:tcPr>
          <w:p w14:paraId="678B60F7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bCs/>
                <w:szCs w:val="24"/>
                <w:lang w:val="ro-RO"/>
              </w:rPr>
              <w:t>KAjC</w:t>
            </w:r>
          </w:p>
        </w:tc>
        <w:tc>
          <w:tcPr>
            <w:tcW w:w="4476" w:type="pct"/>
            <w:shd w:val="clear" w:color="auto" w:fill="auto"/>
          </w:tcPr>
          <w:p w14:paraId="6913C044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>– c</w:t>
            </w:r>
            <w:r w:rsidRPr="009C5DBB">
              <w:rPr>
                <w:iCs/>
                <w:szCs w:val="24"/>
                <w:lang w:val="ro-RO"/>
              </w:rPr>
              <w:t xml:space="preserve">oeficientul </w:t>
            </w:r>
            <w:r w:rsidRPr="009C5DBB">
              <w:rPr>
                <w:szCs w:val="24"/>
                <w:lang w:val="ro-RO"/>
              </w:rPr>
              <w:t>ajustărilor comune (se va determina conform formulei 4 din pct. 5);</w:t>
            </w:r>
          </w:p>
        </w:tc>
      </w:tr>
      <w:tr w:rsidR="005D6ABC" w:rsidRPr="00031C19" w14:paraId="74961A2D" w14:textId="77777777" w:rsidTr="00953C93">
        <w:tc>
          <w:tcPr>
            <w:tcW w:w="524" w:type="pct"/>
            <w:shd w:val="clear" w:color="auto" w:fill="auto"/>
          </w:tcPr>
          <w:p w14:paraId="351E1292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 xml:space="preserve">KCLoc </w:t>
            </w:r>
            <w:r w:rsidRPr="009C5DBB">
              <w:rPr>
                <w:rFonts w:ascii="Arial" w:hAnsi="Arial" w:cs="Arial"/>
                <w:color w:val="202122"/>
                <w:szCs w:val="24"/>
                <w:shd w:val="clear" w:color="auto" w:fill="F9F9F9"/>
                <w:lang w:val="ro-RO"/>
              </w:rPr>
              <w:t>|</w:t>
            </w:r>
            <w:r w:rsidRPr="009C5DBB">
              <w:rPr>
                <w:b/>
                <w:szCs w:val="24"/>
                <w:lang w:val="ro-RO"/>
              </w:rPr>
              <w:t>Zonă</w:t>
            </w:r>
          </w:p>
        </w:tc>
        <w:tc>
          <w:tcPr>
            <w:tcW w:w="4476" w:type="pct"/>
            <w:shd w:val="clear" w:color="auto" w:fill="auto"/>
          </w:tcPr>
          <w:p w14:paraId="5DBB46C0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szCs w:val="24"/>
                <w:lang w:val="ro-RO"/>
              </w:rPr>
              <w:t>–  c</w:t>
            </w:r>
            <w:r w:rsidRPr="009C5DBB">
              <w:rPr>
                <w:iCs/>
                <w:szCs w:val="24"/>
                <w:lang w:val="ro-RO"/>
              </w:rPr>
              <w:t>oeficientul factorului valoric „localitatea/zona valorică”.</w:t>
            </w:r>
            <w:r w:rsidRPr="009C5DBB">
              <w:rPr>
                <w:szCs w:val="24"/>
                <w:lang w:val="ro-RO"/>
              </w:rPr>
              <w:t xml:space="preserve"> Factorul valoric dat se determină conform anexei 2 la prezentul ordin</w:t>
            </w:r>
            <w:r w:rsidRPr="009C5DBB">
              <w:rPr>
                <w:iCs/>
                <w:szCs w:val="24"/>
                <w:lang w:val="ro-RO"/>
              </w:rPr>
              <w:t>;</w:t>
            </w:r>
          </w:p>
        </w:tc>
      </w:tr>
    </w:tbl>
    <w:p w14:paraId="3D7715CD" w14:textId="77777777" w:rsidR="005D6ABC" w:rsidRPr="009C5DBB" w:rsidRDefault="005D6ABC" w:rsidP="005D6ABC">
      <w:pPr>
        <w:spacing w:line="276" w:lineRule="auto"/>
        <w:jc w:val="both"/>
        <w:rPr>
          <w:b/>
          <w:bCs/>
          <w:szCs w:val="24"/>
          <w:lang w:val="ro-RO"/>
        </w:rPr>
        <w:sectPr w:rsidR="005D6ABC" w:rsidRPr="009C5DBB" w:rsidSect="005D6ABC">
          <w:headerReference w:type="default" r:id="rId7"/>
          <w:footerReference w:type="first" r:id="rId8"/>
          <w:pgSz w:w="11906" w:h="16838"/>
          <w:pgMar w:top="1134" w:right="850" w:bottom="1560" w:left="1701" w:header="708" w:footer="708" w:gutter="0"/>
          <w:cols w:space="708"/>
          <w:titlePg/>
          <w:docGrid w:linePitch="360"/>
        </w:sectPr>
      </w:pPr>
    </w:p>
    <w:p w14:paraId="4948D95B" w14:textId="77777777" w:rsidR="005D6ABC" w:rsidRPr="009C5DBB" w:rsidRDefault="005D6ABC" w:rsidP="005D6ABC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lastRenderedPageBreak/>
        <w:t>Valoarea estimată a construcției accesorii se va determina după următoarea formulă:</w:t>
      </w:r>
    </w:p>
    <w:p w14:paraId="0AC751C0" w14:textId="77777777" w:rsidR="005D6ABC" w:rsidRPr="009C5DBB" w:rsidRDefault="005D6ABC" w:rsidP="005D6ABC">
      <w:pPr>
        <w:pStyle w:val="a7"/>
        <w:spacing w:line="276" w:lineRule="auto"/>
        <w:ind w:left="0"/>
        <w:jc w:val="both"/>
        <w:rPr>
          <w:szCs w:val="24"/>
          <w:lang w:val="ro-RO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8755"/>
        <w:gridCol w:w="992"/>
      </w:tblGrid>
      <w:tr w:rsidR="005D6ABC" w:rsidRPr="009C5DBB" w14:paraId="0606E4B1" w14:textId="77777777" w:rsidTr="00953C93">
        <w:trPr>
          <w:trHeight w:val="623"/>
        </w:trPr>
        <w:tc>
          <w:tcPr>
            <w:tcW w:w="8755" w:type="dxa"/>
            <w:shd w:val="clear" w:color="auto" w:fill="auto"/>
            <w:vAlign w:val="center"/>
          </w:tcPr>
          <w:p w14:paraId="1B97F67D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VCaux = EXP[(SInt+K</w:t>
            </w:r>
            <w:r w:rsidRPr="009C5DBB">
              <w:rPr>
                <w:b/>
                <w:szCs w:val="24"/>
                <w:vertAlign w:val="subscript"/>
                <w:lang w:val="ro-RO"/>
              </w:rPr>
              <w:t>S</w:t>
            </w:r>
            <w:r w:rsidRPr="009C5DBB">
              <w:rPr>
                <w:b/>
                <w:szCs w:val="24"/>
                <w:lang w:val="ro-RO"/>
              </w:rPr>
              <w:t>*Ln(S</w:t>
            </w:r>
            <w:r w:rsidRPr="009C5DBB">
              <w:rPr>
                <w:b/>
                <w:szCs w:val="24"/>
                <w:vertAlign w:val="subscript"/>
                <w:lang w:val="ro-RO"/>
              </w:rPr>
              <w:t>ext</w:t>
            </w:r>
            <w:r w:rsidRPr="009C5DBB">
              <w:rPr>
                <w:b/>
                <w:szCs w:val="24"/>
                <w:lang w:val="ro-RO"/>
              </w:rPr>
              <w:t>)) + (AInt.+ A*KA + A</w:t>
            </w:r>
            <w:r w:rsidRPr="009C5DBB">
              <w:rPr>
                <w:b/>
                <w:szCs w:val="24"/>
                <w:vertAlign w:val="superscript"/>
                <w:lang w:val="ro-RO"/>
              </w:rPr>
              <w:t>2</w:t>
            </w:r>
            <w:r w:rsidRPr="009C5DBB">
              <w:rPr>
                <w:b/>
                <w:szCs w:val="24"/>
                <w:lang w:val="ro-RO"/>
              </w:rPr>
              <w:t>*KA2 + A</w:t>
            </w:r>
            <w:r w:rsidRPr="009C5DBB">
              <w:rPr>
                <w:b/>
                <w:szCs w:val="24"/>
                <w:vertAlign w:val="superscript"/>
                <w:lang w:val="ro-RO"/>
              </w:rPr>
              <w:t>3</w:t>
            </w:r>
            <w:r w:rsidRPr="009C5DBB">
              <w:rPr>
                <w:b/>
                <w:szCs w:val="24"/>
                <w:lang w:val="ro-RO"/>
              </w:rPr>
              <w:t>*KA3) + KMP + KST] * KAjC * KAN * KCLoc</w:t>
            </w:r>
            <w:r w:rsidRPr="009C5DBB">
              <w:rPr>
                <w:rFonts w:ascii="Arial" w:hAnsi="Arial" w:cs="Arial"/>
                <w:color w:val="202122"/>
                <w:szCs w:val="24"/>
                <w:shd w:val="clear" w:color="auto" w:fill="F9F9F9"/>
                <w:lang w:val="ro-RO"/>
              </w:rPr>
              <w:t>|</w:t>
            </w:r>
            <w:r w:rsidRPr="009C5DBB">
              <w:rPr>
                <w:b/>
                <w:szCs w:val="24"/>
                <w:lang w:val="ro-RO"/>
              </w:rPr>
              <w:t>Zonă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D7D4AE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9C5DBB">
              <w:rPr>
                <w:bCs/>
                <w:szCs w:val="24"/>
                <w:lang w:val="ro-RO"/>
              </w:rPr>
              <w:t>(3)</w:t>
            </w:r>
          </w:p>
        </w:tc>
      </w:tr>
    </w:tbl>
    <w:p w14:paraId="518006BC" w14:textId="77777777" w:rsidR="005D6ABC" w:rsidRPr="009C5DBB" w:rsidRDefault="005D6ABC" w:rsidP="005D6ABC">
      <w:pPr>
        <w:pStyle w:val="a7"/>
        <w:spacing w:line="276" w:lineRule="auto"/>
        <w:ind w:left="0"/>
        <w:rPr>
          <w:szCs w:val="24"/>
          <w:lang w:val="ro-RO"/>
        </w:rPr>
      </w:pPr>
      <w:r w:rsidRPr="009C5DBB">
        <w:rPr>
          <w:szCs w:val="24"/>
          <w:lang w:val="ro-RO"/>
        </w:rPr>
        <w:t>unde:</w:t>
      </w: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80"/>
        <w:gridCol w:w="8374"/>
      </w:tblGrid>
      <w:tr w:rsidR="005D6ABC" w:rsidRPr="00031C19" w14:paraId="7170856D" w14:textId="77777777" w:rsidTr="00953C93">
        <w:tc>
          <w:tcPr>
            <w:tcW w:w="524" w:type="pct"/>
            <w:shd w:val="clear" w:color="auto" w:fill="auto"/>
          </w:tcPr>
          <w:p w14:paraId="378F291F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VC</w:t>
            </w:r>
          </w:p>
        </w:tc>
        <w:tc>
          <w:tcPr>
            <w:tcW w:w="4476" w:type="pct"/>
            <w:shd w:val="clear" w:color="auto" w:fill="auto"/>
          </w:tcPr>
          <w:p w14:paraId="0A296767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 xml:space="preserve">– valoarea estimată a construcției accesorii, lei. Se consideră construcție accesorie, construcția solid legată de pământ pentru activități specifice, complementare funcției de bază a casei de locuit individuale și care prin amplasarea în vecinătatea casei de locuit individuale, alcătuiesc împreună cu aceasta o unitate funcțională distinctă. </w:t>
            </w:r>
          </w:p>
        </w:tc>
      </w:tr>
      <w:tr w:rsidR="005D6ABC" w:rsidRPr="00031C19" w14:paraId="374D6208" w14:textId="77777777" w:rsidTr="00953C93">
        <w:tc>
          <w:tcPr>
            <w:tcW w:w="524" w:type="pct"/>
            <w:shd w:val="clear" w:color="auto" w:fill="auto"/>
          </w:tcPr>
          <w:p w14:paraId="04BB8A7B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SInt.</w:t>
            </w:r>
          </w:p>
        </w:tc>
        <w:tc>
          <w:tcPr>
            <w:tcW w:w="4476" w:type="pct"/>
            <w:shd w:val="clear" w:color="auto" w:fill="auto"/>
          </w:tcPr>
          <w:p w14:paraId="29BC491B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 xml:space="preserve">– </w:t>
            </w:r>
            <w:r w:rsidRPr="009C5DBB">
              <w:rPr>
                <w:color w:val="000000"/>
                <w:szCs w:val="24"/>
                <w:lang w:val="ro-RO"/>
              </w:rPr>
              <w:t xml:space="preserve">intercepta ecuației de regresie pentru factorul </w:t>
            </w:r>
            <w:r w:rsidRPr="009C5DBB">
              <w:rPr>
                <w:szCs w:val="24"/>
                <w:lang w:val="ro-RO"/>
              </w:rPr>
              <w:t xml:space="preserve">valoric </w:t>
            </w:r>
            <w:r w:rsidRPr="009C5DBB">
              <w:rPr>
                <w:szCs w:val="24"/>
                <w:lang w:val="ro-MD"/>
              </w:rPr>
              <w:t>„</w:t>
            </w:r>
            <w:r w:rsidRPr="009C5DBB">
              <w:rPr>
                <w:szCs w:val="24"/>
                <w:lang w:val="ro-RO"/>
              </w:rPr>
              <w:t>suprafața</w:t>
            </w:r>
            <w:r w:rsidRPr="009C5DBB">
              <w:rPr>
                <w:szCs w:val="24"/>
                <w:lang w:val="en-US"/>
              </w:rPr>
              <w:t xml:space="preserve"> </w:t>
            </w:r>
            <w:r w:rsidRPr="009C5DBB">
              <w:rPr>
                <w:szCs w:val="24"/>
                <w:lang w:val="ro-MD"/>
              </w:rPr>
              <w:t>totală</w:t>
            </w:r>
            <w:r w:rsidRPr="009C5DBB">
              <w:rPr>
                <w:szCs w:val="24"/>
                <w:lang w:val="ro-RO"/>
              </w:rPr>
              <w:t xml:space="preserve"> exterioară”</w:t>
            </w:r>
            <w:r w:rsidRPr="009C5DBB">
              <w:rPr>
                <w:rFonts w:eastAsia="Times New Roman"/>
                <w:szCs w:val="24"/>
                <w:lang w:val="ro-RO" w:eastAsia="ru-RU"/>
              </w:rPr>
              <w:t>;</w:t>
            </w:r>
          </w:p>
        </w:tc>
      </w:tr>
      <w:tr w:rsidR="005D6ABC" w:rsidRPr="00031C19" w14:paraId="198BF987" w14:textId="77777777" w:rsidTr="00953C93">
        <w:tc>
          <w:tcPr>
            <w:tcW w:w="524" w:type="pct"/>
            <w:shd w:val="clear" w:color="auto" w:fill="auto"/>
          </w:tcPr>
          <w:p w14:paraId="2EB6A2DA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S</w:t>
            </w:r>
            <w:r w:rsidRPr="009C5DBB">
              <w:rPr>
                <w:b/>
                <w:szCs w:val="24"/>
                <w:vertAlign w:val="subscript"/>
                <w:lang w:val="ro-RO"/>
              </w:rPr>
              <w:t>ext</w:t>
            </w:r>
          </w:p>
        </w:tc>
        <w:tc>
          <w:tcPr>
            <w:tcW w:w="4476" w:type="pct"/>
            <w:shd w:val="clear" w:color="auto" w:fill="auto"/>
          </w:tcPr>
          <w:p w14:paraId="2F9245C9" w14:textId="77777777" w:rsidR="005D6ABC" w:rsidRPr="009C5DBB" w:rsidRDefault="005D6ABC" w:rsidP="00953C93">
            <w:pPr>
              <w:tabs>
                <w:tab w:val="left" w:pos="1134"/>
              </w:tabs>
              <w:spacing w:line="276" w:lineRule="auto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 xml:space="preserve">– suprafața exterioară a construcției accesorii, m.p. </w:t>
            </w:r>
            <w:r w:rsidRPr="009C5DBB">
              <w:rPr>
                <w:bCs/>
                <w:szCs w:val="24"/>
                <w:lang w:val="ro-RO"/>
              </w:rPr>
              <w:t>Suprafața exterioară corespunde cu suprafața la sol a construcției înregistrată în Registrul bunurilor imobile.</w:t>
            </w:r>
          </w:p>
        </w:tc>
      </w:tr>
      <w:tr w:rsidR="005D6ABC" w:rsidRPr="00031C19" w14:paraId="5EF500B1" w14:textId="77777777" w:rsidTr="00953C93">
        <w:tc>
          <w:tcPr>
            <w:tcW w:w="524" w:type="pct"/>
            <w:shd w:val="clear" w:color="auto" w:fill="auto"/>
          </w:tcPr>
          <w:p w14:paraId="29F06ACA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vertAlign w:val="subscript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</w:t>
            </w:r>
            <w:r w:rsidRPr="009C5DBB">
              <w:rPr>
                <w:b/>
                <w:szCs w:val="24"/>
                <w:vertAlign w:val="subscript"/>
                <w:lang w:val="ro-RO"/>
              </w:rPr>
              <w:t>s</w:t>
            </w:r>
          </w:p>
        </w:tc>
        <w:tc>
          <w:tcPr>
            <w:tcW w:w="4476" w:type="pct"/>
            <w:shd w:val="clear" w:color="auto" w:fill="auto"/>
          </w:tcPr>
          <w:p w14:paraId="073D8A73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>– coeficientul factorului valoric „suprafața totală exterioară”</w:t>
            </w: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>;</w:t>
            </w:r>
          </w:p>
        </w:tc>
      </w:tr>
      <w:tr w:rsidR="005D6ABC" w:rsidRPr="00031C19" w14:paraId="12231D10" w14:textId="77777777" w:rsidTr="00953C93">
        <w:tc>
          <w:tcPr>
            <w:tcW w:w="524" w:type="pct"/>
            <w:shd w:val="clear" w:color="auto" w:fill="auto"/>
          </w:tcPr>
          <w:p w14:paraId="782878DD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AInt.</w:t>
            </w:r>
          </w:p>
        </w:tc>
        <w:tc>
          <w:tcPr>
            <w:tcW w:w="4476" w:type="pct"/>
            <w:shd w:val="clear" w:color="auto" w:fill="auto"/>
          </w:tcPr>
          <w:p w14:paraId="43B1AC13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intercepta ecuației de regresie pentru factorul valoric „vârsta cronologică”;</w:t>
            </w:r>
          </w:p>
        </w:tc>
      </w:tr>
      <w:tr w:rsidR="005D6ABC" w:rsidRPr="00031C19" w14:paraId="11A1A576" w14:textId="77777777" w:rsidTr="00953C93">
        <w:tc>
          <w:tcPr>
            <w:tcW w:w="524" w:type="pct"/>
            <w:shd w:val="clear" w:color="auto" w:fill="auto"/>
          </w:tcPr>
          <w:p w14:paraId="681E9F37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A</w:t>
            </w:r>
          </w:p>
        </w:tc>
        <w:tc>
          <w:tcPr>
            <w:tcW w:w="4476" w:type="pct"/>
            <w:shd w:val="clear" w:color="auto" w:fill="auto"/>
          </w:tcPr>
          <w:p w14:paraId="79CEE7DB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vârsta cronologică, ani (precizia 1,0). Vârsta cronologică se calculează ca diferență dintre anul evaluării/reevaluării masive și anul construcției / dării în exploatare a construcției;</w:t>
            </w:r>
          </w:p>
        </w:tc>
      </w:tr>
      <w:tr w:rsidR="005D6ABC" w:rsidRPr="00031C19" w14:paraId="40D1D45A" w14:textId="77777777" w:rsidTr="00953C93">
        <w:tc>
          <w:tcPr>
            <w:tcW w:w="524" w:type="pct"/>
            <w:shd w:val="clear" w:color="auto" w:fill="auto"/>
          </w:tcPr>
          <w:p w14:paraId="01555EBC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</w:t>
            </w:r>
          </w:p>
        </w:tc>
        <w:tc>
          <w:tcPr>
            <w:tcW w:w="4476" w:type="pct"/>
            <w:shd w:val="clear" w:color="auto" w:fill="auto"/>
          </w:tcPr>
          <w:p w14:paraId="432014FC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coeficientul factorului valoric „vârsta cronologică”;</w:t>
            </w:r>
          </w:p>
        </w:tc>
      </w:tr>
      <w:tr w:rsidR="005D6ABC" w:rsidRPr="00031C19" w14:paraId="252BC087" w14:textId="77777777" w:rsidTr="00953C93">
        <w:tc>
          <w:tcPr>
            <w:tcW w:w="524" w:type="pct"/>
            <w:shd w:val="clear" w:color="auto" w:fill="auto"/>
          </w:tcPr>
          <w:p w14:paraId="4CCC469A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A</w:t>
            </w:r>
            <w:r w:rsidRPr="009C5DBB">
              <w:rPr>
                <w:b/>
                <w:szCs w:val="24"/>
                <w:vertAlign w:val="superscript"/>
                <w:lang w:val="ro-RO"/>
              </w:rPr>
              <w:t>2</w:t>
            </w:r>
          </w:p>
        </w:tc>
        <w:tc>
          <w:tcPr>
            <w:tcW w:w="4476" w:type="pct"/>
            <w:shd w:val="clear" w:color="auto" w:fill="auto"/>
          </w:tcPr>
          <w:p w14:paraId="53BD6DD7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funcția pătratică a factorului valoric „vârsta cronologică”</w:t>
            </w: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>;</w:t>
            </w:r>
          </w:p>
        </w:tc>
      </w:tr>
      <w:tr w:rsidR="005D6ABC" w:rsidRPr="00031C19" w14:paraId="20E4DCBA" w14:textId="77777777" w:rsidTr="00953C93">
        <w:tc>
          <w:tcPr>
            <w:tcW w:w="524" w:type="pct"/>
            <w:shd w:val="clear" w:color="auto" w:fill="auto"/>
          </w:tcPr>
          <w:p w14:paraId="1A85B258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KA2</w:t>
            </w:r>
          </w:p>
        </w:tc>
        <w:tc>
          <w:tcPr>
            <w:tcW w:w="4476" w:type="pct"/>
            <w:shd w:val="clear" w:color="auto" w:fill="auto"/>
          </w:tcPr>
          <w:p w14:paraId="16178F65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 xml:space="preserve">coeficientul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factorului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 xml:space="preserve"> valoric</w:t>
            </w:r>
            <w:r w:rsidRPr="009C5DBB">
              <w:rPr>
                <w:bCs/>
                <w:color w:val="000000"/>
                <w:szCs w:val="24"/>
                <w:lang w:val="ro-RO"/>
              </w:rPr>
              <w:t xml:space="preserve">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„vârsta cronologică” în cadrul funcției pătratice;</w:t>
            </w:r>
          </w:p>
        </w:tc>
      </w:tr>
      <w:tr w:rsidR="005D6ABC" w:rsidRPr="00031C19" w14:paraId="670D865C" w14:textId="77777777" w:rsidTr="00953C93">
        <w:tc>
          <w:tcPr>
            <w:tcW w:w="524" w:type="pct"/>
            <w:shd w:val="clear" w:color="auto" w:fill="auto"/>
          </w:tcPr>
          <w:p w14:paraId="06F4868B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A</w:t>
            </w:r>
            <w:r w:rsidRPr="009C5DBB">
              <w:rPr>
                <w:b/>
                <w:szCs w:val="24"/>
                <w:vertAlign w:val="superscript"/>
                <w:lang w:val="ro-RO"/>
              </w:rPr>
              <w:t>3</w:t>
            </w:r>
          </w:p>
        </w:tc>
        <w:tc>
          <w:tcPr>
            <w:tcW w:w="4476" w:type="pct"/>
            <w:shd w:val="clear" w:color="auto" w:fill="auto"/>
          </w:tcPr>
          <w:p w14:paraId="6DDA3419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rFonts w:eastAsia="Times New Roman"/>
                <w:szCs w:val="24"/>
                <w:lang w:val="ro-RO" w:eastAsia="ru-RU"/>
              </w:rPr>
              <w:t xml:space="preserve">funcția cubică a factorului 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>valoric</w:t>
            </w:r>
            <w:r w:rsidRPr="009C5DBB">
              <w:rPr>
                <w:bCs/>
                <w:color w:val="000000"/>
                <w:szCs w:val="24"/>
                <w:lang w:val="ro-RO"/>
              </w:rPr>
              <w:t xml:space="preserve">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„vârsta cronologică”</w:t>
            </w: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>;</w:t>
            </w:r>
          </w:p>
        </w:tc>
      </w:tr>
      <w:tr w:rsidR="005D6ABC" w:rsidRPr="00031C19" w14:paraId="7762EFA5" w14:textId="77777777" w:rsidTr="00953C93">
        <w:tc>
          <w:tcPr>
            <w:tcW w:w="524" w:type="pct"/>
            <w:shd w:val="clear" w:color="auto" w:fill="auto"/>
          </w:tcPr>
          <w:p w14:paraId="0CE86B31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KA3</w:t>
            </w:r>
          </w:p>
        </w:tc>
        <w:tc>
          <w:tcPr>
            <w:tcW w:w="4476" w:type="pct"/>
            <w:shd w:val="clear" w:color="auto" w:fill="auto"/>
          </w:tcPr>
          <w:p w14:paraId="4B64DC44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 xml:space="preserve">coeficientul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factorului</w:t>
            </w:r>
            <w:r w:rsidRPr="009C5DBB">
              <w:rPr>
                <w:rFonts w:eastAsia="Times New Roman"/>
                <w:bCs/>
                <w:color w:val="000000"/>
                <w:szCs w:val="24"/>
                <w:lang w:val="ro-RO" w:eastAsia="ru-RU"/>
              </w:rPr>
              <w:t xml:space="preserve"> valoric</w:t>
            </w:r>
            <w:r w:rsidRPr="009C5DBB">
              <w:rPr>
                <w:bCs/>
                <w:color w:val="000000"/>
                <w:szCs w:val="24"/>
                <w:lang w:val="ro-RO"/>
              </w:rPr>
              <w:t xml:space="preserve"> </w:t>
            </w:r>
            <w:r w:rsidRPr="009C5DBB">
              <w:rPr>
                <w:rFonts w:eastAsia="Times New Roman"/>
                <w:color w:val="000000"/>
                <w:szCs w:val="24"/>
                <w:lang w:val="ro-RO" w:eastAsia="ru-RU"/>
              </w:rPr>
              <w:t>„vârsta cronologică” în cadrul funcției cubice;</w:t>
            </w:r>
          </w:p>
        </w:tc>
      </w:tr>
      <w:tr w:rsidR="005D6ABC" w:rsidRPr="00031C19" w14:paraId="04E29168" w14:textId="77777777" w:rsidTr="00953C93">
        <w:tc>
          <w:tcPr>
            <w:tcW w:w="524" w:type="pct"/>
            <w:shd w:val="clear" w:color="auto" w:fill="auto"/>
          </w:tcPr>
          <w:p w14:paraId="29909011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KMP</w:t>
            </w:r>
          </w:p>
        </w:tc>
        <w:tc>
          <w:tcPr>
            <w:tcW w:w="4476" w:type="pct"/>
            <w:shd w:val="clear" w:color="auto" w:fill="auto"/>
          </w:tcPr>
          <w:p w14:paraId="29F3B139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bCs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szCs w:val="24"/>
                <w:lang w:val="ro-RO"/>
              </w:rPr>
              <w:t>coeficientul factorului valoric „materialul pereților”. Materialul pereților reprezintă tipul materialului predominant al pereților exteriori ai construcției;</w:t>
            </w:r>
          </w:p>
        </w:tc>
      </w:tr>
      <w:tr w:rsidR="005D6ABC" w:rsidRPr="00031C19" w14:paraId="68D1AC59" w14:textId="77777777" w:rsidTr="00953C93">
        <w:tc>
          <w:tcPr>
            <w:tcW w:w="524" w:type="pct"/>
            <w:shd w:val="clear" w:color="auto" w:fill="auto"/>
          </w:tcPr>
          <w:p w14:paraId="02F0F104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KST</w:t>
            </w:r>
          </w:p>
        </w:tc>
        <w:tc>
          <w:tcPr>
            <w:tcW w:w="4476" w:type="pct"/>
            <w:shd w:val="clear" w:color="auto" w:fill="auto"/>
          </w:tcPr>
          <w:p w14:paraId="705ADCB3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bCs/>
                <w:szCs w:val="24"/>
                <w:lang w:val="ro-RO" w:eastAsia="ru-RU"/>
              </w:rPr>
              <w:t xml:space="preserve">– </w:t>
            </w:r>
            <w:r w:rsidRPr="009C5DBB">
              <w:rPr>
                <w:szCs w:val="24"/>
                <w:lang w:val="ro-RO"/>
              </w:rPr>
              <w:t>coeficientul factorului valoric „starea tehnică a construcției”;</w:t>
            </w:r>
          </w:p>
        </w:tc>
      </w:tr>
      <w:tr w:rsidR="005D6ABC" w:rsidRPr="00031C19" w14:paraId="209F1917" w14:textId="77777777" w:rsidTr="00953C93">
        <w:tc>
          <w:tcPr>
            <w:tcW w:w="524" w:type="pct"/>
            <w:shd w:val="clear" w:color="auto" w:fill="auto"/>
          </w:tcPr>
          <w:p w14:paraId="4ECDC3B3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KAN</w:t>
            </w:r>
          </w:p>
        </w:tc>
        <w:tc>
          <w:tcPr>
            <w:tcW w:w="4476" w:type="pct"/>
            <w:shd w:val="clear" w:color="auto" w:fill="auto"/>
          </w:tcPr>
          <w:p w14:paraId="46D97D0C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szCs w:val="24"/>
                <w:lang w:val="ro-RO"/>
              </w:rPr>
              <w:t>– coeficientul factorului valoric „mod de utilizare a construcției”</w:t>
            </w:r>
            <w:r w:rsidRPr="009C5DBB">
              <w:rPr>
                <w:rFonts w:eastAsia="Times New Roman"/>
                <w:szCs w:val="24"/>
                <w:lang w:val="ro-RO" w:eastAsia="ru-RU"/>
              </w:rPr>
              <w:t>;</w:t>
            </w:r>
          </w:p>
        </w:tc>
      </w:tr>
      <w:tr w:rsidR="005D6ABC" w:rsidRPr="00031C19" w14:paraId="5B8ABA5C" w14:textId="77777777" w:rsidTr="00953C93">
        <w:tc>
          <w:tcPr>
            <w:tcW w:w="524" w:type="pct"/>
            <w:shd w:val="clear" w:color="auto" w:fill="auto"/>
          </w:tcPr>
          <w:p w14:paraId="12925822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bCs/>
                <w:szCs w:val="24"/>
                <w:lang w:val="ro-RO"/>
              </w:rPr>
              <w:t>KAjC</w:t>
            </w:r>
          </w:p>
        </w:tc>
        <w:tc>
          <w:tcPr>
            <w:tcW w:w="4476" w:type="pct"/>
            <w:shd w:val="clear" w:color="auto" w:fill="auto"/>
          </w:tcPr>
          <w:p w14:paraId="134BBC7D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szCs w:val="24"/>
                <w:lang w:val="ro-RO"/>
              </w:rPr>
            </w:pPr>
            <w:r w:rsidRPr="009C5DBB">
              <w:rPr>
                <w:szCs w:val="24"/>
                <w:lang w:val="ro-RO"/>
              </w:rPr>
              <w:t>– coeficientul ajustărilor comune (se va determina conform formulei 4 din pct. 5);</w:t>
            </w:r>
          </w:p>
        </w:tc>
      </w:tr>
      <w:tr w:rsidR="005D6ABC" w:rsidRPr="00031C19" w14:paraId="17E708C4" w14:textId="77777777" w:rsidTr="00953C93">
        <w:tc>
          <w:tcPr>
            <w:tcW w:w="524" w:type="pct"/>
            <w:shd w:val="clear" w:color="auto" w:fill="auto"/>
          </w:tcPr>
          <w:p w14:paraId="741C490A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 xml:space="preserve">KCLoc </w:t>
            </w:r>
            <w:r w:rsidRPr="009C5DBB">
              <w:rPr>
                <w:rFonts w:ascii="Arial" w:hAnsi="Arial" w:cs="Arial"/>
                <w:color w:val="202122"/>
                <w:szCs w:val="24"/>
                <w:shd w:val="clear" w:color="auto" w:fill="F9F9F9"/>
                <w:lang w:val="ro-RO"/>
              </w:rPr>
              <w:t>|</w:t>
            </w:r>
            <w:r w:rsidRPr="009C5DBB">
              <w:rPr>
                <w:b/>
                <w:szCs w:val="24"/>
                <w:lang w:val="ro-RO"/>
              </w:rPr>
              <w:t>Zonă</w:t>
            </w:r>
          </w:p>
        </w:tc>
        <w:tc>
          <w:tcPr>
            <w:tcW w:w="4476" w:type="pct"/>
            <w:shd w:val="clear" w:color="auto" w:fill="auto"/>
          </w:tcPr>
          <w:p w14:paraId="7C2AFADE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szCs w:val="24"/>
                <w:lang w:val="ro-RO"/>
              </w:rPr>
              <w:t xml:space="preserve">– coeficientul </w:t>
            </w:r>
            <w:r w:rsidRPr="009C5DBB">
              <w:rPr>
                <w:iCs/>
                <w:szCs w:val="24"/>
                <w:lang w:val="ro-RO"/>
              </w:rPr>
              <w:t xml:space="preserve">factorului valoric „localitatea/zona valorică”. </w:t>
            </w:r>
            <w:r w:rsidRPr="009C5DBB">
              <w:rPr>
                <w:szCs w:val="24"/>
                <w:lang w:val="ro-RO"/>
              </w:rPr>
              <w:t>Factorul valoric dat se determină conform anexei 2 la prezentul ordin</w:t>
            </w:r>
            <w:r w:rsidRPr="009C5DBB">
              <w:rPr>
                <w:iCs/>
                <w:szCs w:val="24"/>
                <w:lang w:val="ro-RO"/>
              </w:rPr>
              <w:t>;</w:t>
            </w:r>
          </w:p>
        </w:tc>
      </w:tr>
    </w:tbl>
    <w:p w14:paraId="15481342" w14:textId="77777777" w:rsidR="005D6ABC" w:rsidRPr="009C5DBB" w:rsidRDefault="005D6ABC" w:rsidP="005D6ABC">
      <w:pPr>
        <w:pStyle w:val="a7"/>
        <w:spacing w:line="276" w:lineRule="auto"/>
        <w:ind w:left="0"/>
        <w:jc w:val="both"/>
        <w:rPr>
          <w:szCs w:val="24"/>
          <w:lang w:val="ro-RO"/>
        </w:rPr>
      </w:pPr>
    </w:p>
    <w:p w14:paraId="09178C78" w14:textId="77777777" w:rsidR="005D6ABC" w:rsidRPr="009C5DBB" w:rsidRDefault="005D6ABC" w:rsidP="005D6ABC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Coeficientul ajustărilor comune se va determina după următoarea formulă:</w:t>
      </w:r>
    </w:p>
    <w:p w14:paraId="677481A0" w14:textId="77777777" w:rsidR="005D6ABC" w:rsidRPr="009C5DBB" w:rsidRDefault="005D6ABC" w:rsidP="005D6ABC">
      <w:pPr>
        <w:spacing w:line="276" w:lineRule="auto"/>
        <w:jc w:val="both"/>
        <w:outlineLvl w:val="0"/>
        <w:rPr>
          <w:b/>
          <w:szCs w:val="24"/>
          <w:lang w:val="ro-RO"/>
        </w:rPr>
      </w:pPr>
    </w:p>
    <w:tbl>
      <w:tblPr>
        <w:tblW w:w="9889" w:type="dxa"/>
        <w:tblInd w:w="392" w:type="dxa"/>
        <w:tblLook w:val="04A0" w:firstRow="1" w:lastRow="0" w:firstColumn="1" w:lastColumn="0" w:noHBand="0" w:noVBand="1"/>
      </w:tblPr>
      <w:tblGrid>
        <w:gridCol w:w="7621"/>
        <w:gridCol w:w="2268"/>
      </w:tblGrid>
      <w:tr w:rsidR="005D6ABC" w:rsidRPr="009C5DBB" w14:paraId="5286F5D8" w14:textId="77777777" w:rsidTr="00953C93">
        <w:tc>
          <w:tcPr>
            <w:tcW w:w="7621" w:type="dxa"/>
            <w:shd w:val="clear" w:color="auto" w:fill="auto"/>
            <w:vAlign w:val="center"/>
          </w:tcPr>
          <w:p w14:paraId="70C7E9C8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KAjC = EXP(KDA + KGA + KAp + KCA)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60897A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9C5DBB">
              <w:rPr>
                <w:bCs/>
                <w:szCs w:val="24"/>
                <w:lang w:val="ro-RO"/>
              </w:rPr>
              <w:t>(4)</w:t>
            </w:r>
          </w:p>
        </w:tc>
      </w:tr>
    </w:tbl>
    <w:p w14:paraId="1E924839" w14:textId="77777777" w:rsidR="005D6ABC" w:rsidRPr="009C5DBB" w:rsidRDefault="005D6ABC" w:rsidP="005D6ABC">
      <w:pPr>
        <w:spacing w:line="276" w:lineRule="auto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unde:</w:t>
      </w:r>
    </w:p>
    <w:tbl>
      <w:tblPr>
        <w:tblW w:w="49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8336"/>
      </w:tblGrid>
      <w:tr w:rsidR="005D6ABC" w:rsidRPr="00031C19" w14:paraId="2C3D6A7F" w14:textId="77777777" w:rsidTr="00953C93">
        <w:trPr>
          <w:trHeight w:val="315"/>
        </w:trPr>
        <w:tc>
          <w:tcPr>
            <w:tcW w:w="538" w:type="pct"/>
          </w:tcPr>
          <w:p w14:paraId="6CE963A2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b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b/>
                <w:bCs/>
                <w:szCs w:val="24"/>
                <w:lang w:val="ro-RO" w:eastAsia="ru-RU"/>
              </w:rPr>
              <w:t>KDA</w:t>
            </w:r>
          </w:p>
        </w:tc>
        <w:tc>
          <w:tcPr>
            <w:tcW w:w="4462" w:type="pct"/>
          </w:tcPr>
          <w:p w14:paraId="50A02F24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b/>
                <w:bCs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 xml:space="preserve">– </w:t>
            </w:r>
            <w:r w:rsidRPr="009C5DBB">
              <w:rPr>
                <w:iCs/>
                <w:szCs w:val="24"/>
                <w:lang w:val="ro-RO"/>
              </w:rPr>
              <w:t xml:space="preserve">coeficientul factorului valoric „drumul de acces”; </w:t>
            </w:r>
          </w:p>
        </w:tc>
      </w:tr>
      <w:tr w:rsidR="005D6ABC" w:rsidRPr="00031C19" w14:paraId="5DD72FB2" w14:textId="77777777" w:rsidTr="00953C93">
        <w:trPr>
          <w:trHeight w:val="315"/>
        </w:trPr>
        <w:tc>
          <w:tcPr>
            <w:tcW w:w="538" w:type="pct"/>
            <w:hideMark/>
          </w:tcPr>
          <w:p w14:paraId="4B2B4BA0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b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b/>
                <w:bCs/>
                <w:szCs w:val="24"/>
                <w:lang w:val="ro-RO" w:eastAsia="ru-RU"/>
              </w:rPr>
              <w:t>KGA</w:t>
            </w:r>
          </w:p>
        </w:tc>
        <w:tc>
          <w:tcPr>
            <w:tcW w:w="4462" w:type="pct"/>
            <w:hideMark/>
          </w:tcPr>
          <w:p w14:paraId="57010986" w14:textId="77777777" w:rsidR="005D6ABC" w:rsidRPr="009C5DBB" w:rsidRDefault="005D6ABC" w:rsidP="00953C93">
            <w:pPr>
              <w:spacing w:line="276" w:lineRule="auto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coeficientul factorului valoric „existența gazoductului”. Factorul valoric dat se ia în considerație în cazul în care, pe terenul și / sau în construcție există gazoduct;</w:t>
            </w:r>
          </w:p>
        </w:tc>
      </w:tr>
      <w:tr w:rsidR="005D6ABC" w:rsidRPr="00031C19" w14:paraId="560C2ADB" w14:textId="77777777" w:rsidTr="00953C93">
        <w:trPr>
          <w:trHeight w:val="315"/>
        </w:trPr>
        <w:tc>
          <w:tcPr>
            <w:tcW w:w="538" w:type="pct"/>
            <w:hideMark/>
          </w:tcPr>
          <w:p w14:paraId="234DAD96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b/>
                <w:bCs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b/>
                <w:bCs/>
                <w:szCs w:val="24"/>
                <w:lang w:val="ro-RO" w:eastAsia="ru-RU"/>
              </w:rPr>
              <w:t>KAp</w:t>
            </w:r>
          </w:p>
        </w:tc>
        <w:tc>
          <w:tcPr>
            <w:tcW w:w="4462" w:type="pct"/>
            <w:hideMark/>
          </w:tcPr>
          <w:p w14:paraId="760918DF" w14:textId="77777777" w:rsidR="005D6ABC" w:rsidRPr="009C5DBB" w:rsidRDefault="005D6ABC" w:rsidP="00953C93">
            <w:pPr>
              <w:spacing w:line="276" w:lineRule="auto"/>
              <w:jc w:val="both"/>
              <w:rPr>
                <w:color w:val="000000"/>
                <w:szCs w:val="24"/>
                <w:lang w:val="ro-RO" w:eastAsia="ro-MD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>– coeficientul factorului valoric „existența apeductului”. Factorul valoric dat se ia în considerație în cazul în care, pe terenul și / sau în construcție există apeduct;</w:t>
            </w:r>
          </w:p>
        </w:tc>
      </w:tr>
      <w:tr w:rsidR="005D6ABC" w:rsidRPr="00031C19" w14:paraId="363672C0" w14:textId="77777777" w:rsidTr="00953C93">
        <w:trPr>
          <w:trHeight w:val="315"/>
        </w:trPr>
        <w:tc>
          <w:tcPr>
            <w:tcW w:w="538" w:type="pct"/>
            <w:hideMark/>
          </w:tcPr>
          <w:p w14:paraId="2BD4F98A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b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b/>
                <w:bCs/>
                <w:szCs w:val="24"/>
                <w:lang w:val="ro-RO" w:eastAsia="ru-RU"/>
              </w:rPr>
              <w:t>KCA</w:t>
            </w:r>
          </w:p>
        </w:tc>
        <w:tc>
          <w:tcPr>
            <w:tcW w:w="4462" w:type="pct"/>
            <w:hideMark/>
          </w:tcPr>
          <w:p w14:paraId="2475DEC7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 xml:space="preserve">– coeficientul factorului valoric „existența canalizării”. Factorul valoric dat se ia în considerație în cazul în care, pe terenul și / sau în construcție există canalizare; </w:t>
            </w:r>
          </w:p>
          <w:p w14:paraId="58F0423F" w14:textId="77777777" w:rsidR="005D6ABC" w:rsidRPr="009C5DBB" w:rsidRDefault="005D6ABC" w:rsidP="00953C93">
            <w:pPr>
              <w:spacing w:line="276" w:lineRule="auto"/>
              <w:jc w:val="both"/>
              <w:rPr>
                <w:rFonts w:eastAsia="Times New Roman"/>
                <w:szCs w:val="24"/>
                <w:lang w:val="ro-RO" w:eastAsia="ru-RU"/>
              </w:rPr>
            </w:pPr>
            <w:r w:rsidRPr="009C5DBB">
              <w:rPr>
                <w:rFonts w:eastAsia="Times New Roman"/>
                <w:szCs w:val="24"/>
                <w:lang w:val="ro-RO" w:eastAsia="ru-RU"/>
              </w:rPr>
              <w:t xml:space="preserve"> </w:t>
            </w:r>
          </w:p>
          <w:p w14:paraId="142A4F72" w14:textId="77777777" w:rsidR="005D6ABC" w:rsidRPr="009C5DBB" w:rsidRDefault="005D6ABC" w:rsidP="00953C93">
            <w:pPr>
              <w:spacing w:line="276" w:lineRule="auto"/>
              <w:jc w:val="both"/>
              <w:rPr>
                <w:color w:val="000000"/>
                <w:szCs w:val="24"/>
                <w:lang w:val="ro-RO" w:eastAsia="ro-MD"/>
              </w:rPr>
            </w:pPr>
          </w:p>
        </w:tc>
      </w:tr>
    </w:tbl>
    <w:p w14:paraId="61DCFB47" w14:textId="77777777" w:rsidR="005D6ABC" w:rsidRPr="009C5DBB" w:rsidRDefault="005D6ABC" w:rsidP="005D6ABC">
      <w:pPr>
        <w:pStyle w:val="a7"/>
        <w:spacing w:line="276" w:lineRule="auto"/>
        <w:ind w:left="0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6. Valoarea estimată a casei de locuit individuale cu teren aferent și construcții accesorii, se va determina după următoarea formulă:</w:t>
      </w:r>
    </w:p>
    <w:p w14:paraId="75A0B03A" w14:textId="77777777" w:rsidR="005D6ABC" w:rsidRPr="009C5DBB" w:rsidRDefault="005D6ABC" w:rsidP="005D6ABC">
      <w:pPr>
        <w:spacing w:line="276" w:lineRule="auto"/>
        <w:ind w:left="360"/>
        <w:jc w:val="both"/>
        <w:rPr>
          <w:szCs w:val="24"/>
          <w:lang w:val="ro-RO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8330"/>
        <w:gridCol w:w="1559"/>
      </w:tblGrid>
      <w:tr w:rsidR="005D6ABC" w:rsidRPr="009C5DBB" w14:paraId="2909F43D" w14:textId="77777777" w:rsidTr="00953C93">
        <w:tc>
          <w:tcPr>
            <w:tcW w:w="8330" w:type="dxa"/>
            <w:shd w:val="clear" w:color="auto" w:fill="auto"/>
            <w:vAlign w:val="center"/>
          </w:tcPr>
          <w:p w14:paraId="30958E51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9C5DBB">
              <w:rPr>
                <w:b/>
                <w:szCs w:val="24"/>
                <w:lang w:val="ro-RO"/>
              </w:rPr>
              <w:t>V = V</w:t>
            </w:r>
            <w:r w:rsidRPr="009C5DBB">
              <w:rPr>
                <w:b/>
                <w:szCs w:val="24"/>
                <w:vertAlign w:val="subscript"/>
                <w:lang w:val="ro-RO"/>
              </w:rPr>
              <w:t xml:space="preserve">T </w:t>
            </w:r>
            <w:r w:rsidRPr="009C5DBB">
              <w:rPr>
                <w:b/>
                <w:szCs w:val="24"/>
                <w:lang w:val="ro-RO"/>
              </w:rPr>
              <w:t>+ VC +</w:t>
            </w:r>
            <w:r w:rsidRPr="009C5DBB">
              <w:rPr>
                <w:b/>
                <w:szCs w:val="24"/>
                <w:vertAlign w:val="subscript"/>
                <w:lang w:val="ro-RO"/>
              </w:rPr>
              <w:t xml:space="preserve"> </w:t>
            </w:r>
            <w:r w:rsidRPr="009C5DBB">
              <w:rPr>
                <w:b/>
                <w:szCs w:val="24"/>
                <w:lang w:val="ro-RO"/>
              </w:rPr>
              <w:t>VCaux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818CF8" w14:textId="77777777" w:rsidR="005D6ABC" w:rsidRPr="009C5DBB" w:rsidRDefault="005D6ABC" w:rsidP="00953C93">
            <w:pPr>
              <w:pStyle w:val="a7"/>
              <w:spacing w:line="276" w:lineRule="auto"/>
              <w:ind w:left="0"/>
              <w:jc w:val="center"/>
              <w:rPr>
                <w:b/>
                <w:szCs w:val="24"/>
                <w:lang w:val="ro-RO"/>
              </w:rPr>
            </w:pPr>
            <w:r w:rsidRPr="009C5DBB">
              <w:rPr>
                <w:bCs/>
                <w:szCs w:val="24"/>
                <w:lang w:val="ro-RO"/>
              </w:rPr>
              <w:t>(2)</w:t>
            </w:r>
          </w:p>
        </w:tc>
      </w:tr>
    </w:tbl>
    <w:p w14:paraId="7DEBA298" w14:textId="77777777" w:rsidR="005D6ABC" w:rsidRPr="009C5DBB" w:rsidRDefault="005D6ABC" w:rsidP="005D6ABC">
      <w:pPr>
        <w:spacing w:line="276" w:lineRule="auto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unde:</w:t>
      </w:r>
    </w:p>
    <w:p w14:paraId="53C9AAA3" w14:textId="77777777" w:rsidR="005D6ABC" w:rsidRPr="009C5DBB" w:rsidRDefault="005D6ABC" w:rsidP="005D6ABC">
      <w:pPr>
        <w:spacing w:line="276" w:lineRule="auto"/>
        <w:ind w:left="851" w:hanging="851"/>
        <w:jc w:val="both"/>
        <w:rPr>
          <w:szCs w:val="24"/>
          <w:lang w:val="ro-RO"/>
        </w:rPr>
      </w:pPr>
      <w:r w:rsidRPr="009C5DBB">
        <w:rPr>
          <w:b/>
          <w:bCs/>
          <w:szCs w:val="24"/>
          <w:lang w:val="ro-RO"/>
        </w:rPr>
        <w:t>V</w:t>
      </w:r>
      <w:r w:rsidRPr="009C5DBB">
        <w:rPr>
          <w:szCs w:val="24"/>
          <w:lang w:val="ro-RO"/>
        </w:rPr>
        <w:tab/>
        <w:t>– valoarea estimată a casei de locuit individuale cu teren aferent și construcții accesorii, lei;</w:t>
      </w:r>
    </w:p>
    <w:p w14:paraId="7AA40E25" w14:textId="77777777" w:rsidR="005D6ABC" w:rsidRPr="009C5DBB" w:rsidRDefault="005D6ABC" w:rsidP="005D6ABC">
      <w:pPr>
        <w:spacing w:line="276" w:lineRule="auto"/>
        <w:ind w:left="851" w:hanging="851"/>
        <w:jc w:val="both"/>
        <w:rPr>
          <w:szCs w:val="24"/>
          <w:lang w:val="ro-RO"/>
        </w:rPr>
      </w:pPr>
      <w:r w:rsidRPr="009C5DBB">
        <w:rPr>
          <w:b/>
          <w:bCs/>
          <w:szCs w:val="24"/>
          <w:lang w:val="ro-RO"/>
        </w:rPr>
        <w:t>V</w:t>
      </w:r>
      <w:r w:rsidRPr="009C5DBB">
        <w:rPr>
          <w:b/>
          <w:bCs/>
          <w:szCs w:val="24"/>
          <w:vertAlign w:val="subscript"/>
          <w:lang w:val="ro-RO"/>
        </w:rPr>
        <w:t>T</w:t>
      </w:r>
      <w:r w:rsidRPr="009C5DBB">
        <w:rPr>
          <w:szCs w:val="24"/>
          <w:lang w:val="ro-RO"/>
        </w:rPr>
        <w:tab/>
        <w:t>– valoarea estimată a terenului aferent casei de locuit individuale, se va determina conform formulei 1 din pct.2, lei;</w:t>
      </w:r>
    </w:p>
    <w:p w14:paraId="02BFA6F8" w14:textId="77777777" w:rsidR="005D6ABC" w:rsidRPr="009C5DBB" w:rsidRDefault="005D6ABC" w:rsidP="005D6ABC">
      <w:pPr>
        <w:spacing w:line="276" w:lineRule="auto"/>
        <w:ind w:left="851" w:hanging="851"/>
        <w:jc w:val="both"/>
        <w:rPr>
          <w:szCs w:val="24"/>
          <w:lang w:val="ro-RO"/>
        </w:rPr>
      </w:pPr>
      <w:r w:rsidRPr="009C5DBB">
        <w:rPr>
          <w:b/>
          <w:bCs/>
          <w:szCs w:val="24"/>
          <w:lang w:val="ro-RO"/>
        </w:rPr>
        <w:t>VC</w:t>
      </w:r>
      <w:r w:rsidRPr="009C5DBB">
        <w:rPr>
          <w:szCs w:val="24"/>
          <w:lang w:val="ro-RO"/>
        </w:rPr>
        <w:t xml:space="preserve"> </w:t>
      </w:r>
      <w:r w:rsidRPr="009C5DBB">
        <w:rPr>
          <w:szCs w:val="24"/>
          <w:lang w:val="ro-RO"/>
        </w:rPr>
        <w:tab/>
        <w:t xml:space="preserve">– valoarea estimată a casei de locuit individuale, lei. Casa de locuit individuală se consideră construcție principală. În cazul existenței </w:t>
      </w:r>
      <w:r w:rsidRPr="009C5DBB">
        <w:rPr>
          <w:bCs/>
          <w:szCs w:val="24"/>
          <w:lang w:val="ro-RO"/>
        </w:rPr>
        <w:t>mai multor construcții principale pe teren, fiecare construcție principală se calculează în mod separat conform formulei 2 din pct.3. La calcularea valorii estimate, valoarea construcțiilor principale determinate separat se sumează: VC = ∑VC</w:t>
      </w:r>
      <w:r w:rsidRPr="009C5DBB">
        <w:rPr>
          <w:bCs/>
          <w:szCs w:val="24"/>
          <w:vertAlign w:val="subscript"/>
          <w:lang w:val="ro-RO"/>
        </w:rPr>
        <w:t>i</w:t>
      </w:r>
      <w:r w:rsidRPr="009C5DBB">
        <w:rPr>
          <w:bCs/>
          <w:szCs w:val="24"/>
          <w:lang w:val="ro-RO"/>
        </w:rPr>
        <w:t>, unde “i” este numărul de construcții principale</w:t>
      </w:r>
      <w:r w:rsidRPr="009C5DBB">
        <w:rPr>
          <w:szCs w:val="24"/>
          <w:lang w:val="ro-RO"/>
        </w:rPr>
        <w:t>;</w:t>
      </w:r>
    </w:p>
    <w:p w14:paraId="0D751F96" w14:textId="77777777" w:rsidR="005D6ABC" w:rsidRPr="009C5DBB" w:rsidRDefault="005D6ABC" w:rsidP="005D6ABC">
      <w:pPr>
        <w:spacing w:line="276" w:lineRule="auto"/>
        <w:ind w:left="851" w:hanging="851"/>
        <w:jc w:val="both"/>
        <w:rPr>
          <w:szCs w:val="24"/>
          <w:lang w:val="ro-RO"/>
        </w:rPr>
      </w:pPr>
      <w:r w:rsidRPr="009C5DBB">
        <w:rPr>
          <w:b/>
          <w:bCs/>
          <w:szCs w:val="24"/>
          <w:lang w:val="ro-RO"/>
        </w:rPr>
        <w:t>VCaux</w:t>
      </w:r>
      <w:r w:rsidRPr="009C5DBB">
        <w:rPr>
          <w:szCs w:val="24"/>
          <w:lang w:val="ro-RO"/>
        </w:rPr>
        <w:t xml:space="preserve">  – valoarea estimată a construcției accesorii, lei. În cazul existenței </w:t>
      </w:r>
      <w:r w:rsidRPr="009C5DBB">
        <w:rPr>
          <w:bCs/>
          <w:szCs w:val="24"/>
          <w:lang w:val="ro-RO"/>
        </w:rPr>
        <w:t>mai multor construcții  accesorii pe teren, fiecare construcție accesorie se calculează în mod separat conform formulei 3 din pct.4. La calcularea valorii estimate, valoarea construcțiilor accesorii determinate separat se sumează: VCaux = ∑VCaux</w:t>
      </w:r>
      <w:r w:rsidRPr="009C5DBB">
        <w:rPr>
          <w:bCs/>
          <w:szCs w:val="24"/>
          <w:vertAlign w:val="subscript"/>
          <w:lang w:val="ro-RO"/>
        </w:rPr>
        <w:t>i</w:t>
      </w:r>
      <w:r w:rsidRPr="009C5DBB">
        <w:rPr>
          <w:bCs/>
          <w:szCs w:val="24"/>
          <w:lang w:val="ro-RO"/>
        </w:rPr>
        <w:t>, unde “i” este numărul de construcții accesorii</w:t>
      </w:r>
      <w:r w:rsidRPr="009C5DBB">
        <w:rPr>
          <w:szCs w:val="24"/>
          <w:lang w:val="ro-RO"/>
        </w:rPr>
        <w:t>;</w:t>
      </w:r>
    </w:p>
    <w:p w14:paraId="61496667" w14:textId="77777777" w:rsidR="005D6ABC" w:rsidRPr="009C5DBB" w:rsidRDefault="005D6ABC" w:rsidP="005D6ABC">
      <w:pPr>
        <w:spacing w:line="276" w:lineRule="auto"/>
        <w:jc w:val="both"/>
        <w:rPr>
          <w:szCs w:val="24"/>
          <w:lang w:val="ro-RO"/>
        </w:rPr>
      </w:pPr>
    </w:p>
    <w:p w14:paraId="501FA132" w14:textId="206F238F" w:rsidR="00F12C76" w:rsidRPr="00603D16" w:rsidRDefault="005D6ABC" w:rsidP="00603D16">
      <w:pPr>
        <w:pStyle w:val="a7"/>
        <w:spacing w:line="276" w:lineRule="auto"/>
        <w:ind w:left="0"/>
        <w:jc w:val="both"/>
        <w:rPr>
          <w:szCs w:val="24"/>
          <w:lang w:val="ro-RO"/>
        </w:rPr>
      </w:pPr>
      <w:r w:rsidRPr="009C5DBB">
        <w:rPr>
          <w:szCs w:val="24"/>
          <w:lang w:val="ro-RO"/>
        </w:rPr>
        <w:t>7. Coeficienții factorilor valorici, aplicați în modelul de evaluare a caselor de locuit amplasate în localitățile rurale ale Republicii Moldova, cu excepția localităților rurale din municipiile Chișinău și Bălți, în scopul impozitării, sunt detaliați în</w:t>
      </w:r>
      <w:r w:rsidR="00603D16">
        <w:rPr>
          <w:szCs w:val="24"/>
          <w:lang w:val="ro-RO"/>
        </w:rPr>
        <w:t xml:space="preserve"> </w:t>
      </w:r>
      <w:r w:rsidRPr="009C5DBB">
        <w:rPr>
          <w:szCs w:val="24"/>
          <w:lang w:val="ro-RO"/>
        </w:rPr>
        <w:t xml:space="preserve">anexa </w:t>
      </w:r>
      <w:r w:rsidR="00603D16">
        <w:rPr>
          <w:szCs w:val="24"/>
          <w:lang w:val="ro-RO"/>
        </w:rPr>
        <w:t>nr.</w:t>
      </w:r>
      <w:r w:rsidRPr="009C5DBB">
        <w:rPr>
          <w:szCs w:val="24"/>
          <w:lang w:val="ro-RO"/>
        </w:rPr>
        <w:t>3</w:t>
      </w:r>
      <w:r w:rsidR="00603D16">
        <w:rPr>
          <w:szCs w:val="24"/>
          <w:lang w:val="ro-RO"/>
        </w:rPr>
        <w:t xml:space="preserve"> </w:t>
      </w:r>
      <w:r w:rsidRPr="009C5DBB">
        <w:rPr>
          <w:szCs w:val="24"/>
          <w:lang w:val="ro-RO"/>
        </w:rPr>
        <w:t>a prezentului ordin.</w:t>
      </w:r>
    </w:p>
    <w:sectPr w:rsidR="00F12C76" w:rsidRPr="00603D16" w:rsidSect="006C0B77">
      <w:headerReference w:type="default" r:id="rId9"/>
      <w:foot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16B1E" w14:textId="77777777" w:rsidR="009F7612" w:rsidRDefault="009F7612">
      <w:r>
        <w:separator/>
      </w:r>
    </w:p>
  </w:endnote>
  <w:endnote w:type="continuationSeparator" w:id="0">
    <w:p w14:paraId="0D764495" w14:textId="77777777" w:rsidR="009F7612" w:rsidRDefault="009F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1896" w14:textId="77777777" w:rsidR="005D6ABC" w:rsidRPr="008A3429" w:rsidRDefault="005D6ABC" w:rsidP="008A3429">
    <w:pPr>
      <w:pStyle w:val="ac"/>
      <w:jc w:val="right"/>
      <w:rPr>
        <w:lang w:val="ro-MD"/>
      </w:rPr>
    </w:pPr>
    <w:r>
      <w:rPr>
        <w:lang w:val="ro-MD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0CFC" w14:textId="77777777" w:rsidR="005D6ABC" w:rsidRDefault="005D6ABC">
    <w:pPr>
      <w:pStyle w:val="ac"/>
      <w:jc w:val="right"/>
    </w:pPr>
    <w:r>
      <w:t>5</w:t>
    </w:r>
  </w:p>
  <w:p w14:paraId="540C02FA" w14:textId="77777777" w:rsidR="005D6ABC" w:rsidRDefault="005D6AB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7E1A" w14:textId="77777777" w:rsidR="009F7612" w:rsidRDefault="009F7612">
      <w:r>
        <w:separator/>
      </w:r>
    </w:p>
  </w:footnote>
  <w:footnote w:type="continuationSeparator" w:id="0">
    <w:p w14:paraId="772C367A" w14:textId="77777777" w:rsidR="009F7612" w:rsidRDefault="009F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82F9" w14:textId="740735B5" w:rsidR="00FF182A" w:rsidRPr="00FF182A" w:rsidRDefault="00FF182A" w:rsidP="00FF182A">
    <w:pPr>
      <w:pStyle w:val="ae"/>
      <w:jc w:val="right"/>
      <w:rPr>
        <w:lang w:val="ro-MD"/>
      </w:rPr>
    </w:pPr>
    <w:r>
      <w:rPr>
        <w:lang w:val="ro-MD"/>
      </w:rPr>
      <w:t>Continuare Anexa nr.1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4AF0" w14:textId="77777777" w:rsidR="005D6ABC" w:rsidRDefault="005D6ABC" w:rsidP="00DE100C">
    <w:pPr>
      <w:jc w:val="right"/>
      <w:rPr>
        <w:bCs/>
        <w:szCs w:val="24"/>
        <w:lang w:val="ro-RO"/>
      </w:rPr>
    </w:pPr>
    <w:r>
      <w:rPr>
        <w:bCs/>
        <w:szCs w:val="24"/>
        <w:lang w:val="ro-RO"/>
      </w:rPr>
      <w:t xml:space="preserve">Continuare </w:t>
    </w:r>
    <w:r w:rsidRPr="008E55D8">
      <w:rPr>
        <w:bCs/>
        <w:szCs w:val="24"/>
        <w:lang w:val="ro-RO"/>
      </w:rPr>
      <w:t>Anexa 1</w:t>
    </w:r>
  </w:p>
  <w:p w14:paraId="4EF7BEF1" w14:textId="77777777" w:rsidR="005D6ABC" w:rsidRPr="00AB474F" w:rsidRDefault="005D6ABC" w:rsidP="00AB474F">
    <w:pPr>
      <w:rPr>
        <w:b/>
        <w:szCs w:val="24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D5DB5"/>
    <w:multiLevelType w:val="hybridMultilevel"/>
    <w:tmpl w:val="36605268"/>
    <w:lvl w:ilvl="0" w:tplc="6B565C60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23A6F"/>
    <w:multiLevelType w:val="multilevel"/>
    <w:tmpl w:val="0419001F"/>
    <w:lvl w:ilvl="0">
      <w:start w:val="1"/>
      <w:numFmt w:val="decimal"/>
      <w:lvlText w:val="%1."/>
      <w:lvlJc w:val="left"/>
      <w:pPr>
        <w:ind w:left="278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3C3B6F15"/>
    <w:multiLevelType w:val="hybridMultilevel"/>
    <w:tmpl w:val="000C135C"/>
    <w:lvl w:ilvl="0" w:tplc="F612A4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80"/>
    <w:rsid w:val="00031C19"/>
    <w:rsid w:val="00105E82"/>
    <w:rsid w:val="001828CB"/>
    <w:rsid w:val="003A1BB7"/>
    <w:rsid w:val="005338EA"/>
    <w:rsid w:val="005D6ABC"/>
    <w:rsid w:val="00603D16"/>
    <w:rsid w:val="006A6035"/>
    <w:rsid w:val="006C0B77"/>
    <w:rsid w:val="00775980"/>
    <w:rsid w:val="008242FF"/>
    <w:rsid w:val="00870751"/>
    <w:rsid w:val="008E2A02"/>
    <w:rsid w:val="00922C48"/>
    <w:rsid w:val="009C5DBB"/>
    <w:rsid w:val="009F7612"/>
    <w:rsid w:val="00B915B7"/>
    <w:rsid w:val="00C74F87"/>
    <w:rsid w:val="00CE4924"/>
    <w:rsid w:val="00D34CC1"/>
    <w:rsid w:val="00E62CC8"/>
    <w:rsid w:val="00EA59DF"/>
    <w:rsid w:val="00EE4070"/>
    <w:rsid w:val="00F12C76"/>
    <w:rsid w:val="00F81B74"/>
    <w:rsid w:val="00FC02AE"/>
    <w:rsid w:val="00FF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B742"/>
  <w15:chartTrackingRefBased/>
  <w15:docId w15:val="{F3E615A1-5BF6-40BF-A768-C356DBD8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ABC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5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9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9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9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9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9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9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9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9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9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9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98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598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759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759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759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759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759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9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9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759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98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9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98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75980"/>
    <w:rPr>
      <w:b/>
      <w:bCs/>
      <w:smallCaps/>
      <w:color w:val="2E74B5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D6A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6ABC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e">
    <w:name w:val="header"/>
    <w:basedOn w:val="a"/>
    <w:link w:val="af"/>
    <w:uiPriority w:val="99"/>
    <w:unhideWhenUsed/>
    <w:rsid w:val="00FF182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F182A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1364</Words>
  <Characters>7777</Characters>
  <Application>Microsoft Office Word</Application>
  <DocSecurity>0</DocSecurity>
  <Lines>64</Lines>
  <Paragraphs>18</Paragraphs>
  <ScaleCrop>false</ScaleCrop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Corobceanu</dc:creator>
  <cp:keywords/>
  <dc:description/>
  <cp:lastModifiedBy>Alexandru Palii</cp:lastModifiedBy>
  <cp:revision>2</cp:revision>
  <dcterms:created xsi:type="dcterms:W3CDTF">2026-09-16T10:07:00Z</dcterms:created>
  <dcterms:modified xsi:type="dcterms:W3CDTF">2026-09-16T10:07:00Z</dcterms:modified>
</cp:coreProperties>
</file>