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617"/>
        <w:gridCol w:w="5779"/>
      </w:tblGrid>
      <w:tr w:rsidR="00956C67" w:rsidRPr="00956C67" w14:paraId="328B6F3D" w14:textId="77777777" w:rsidTr="00956C67">
        <w:tc>
          <w:tcPr>
            <w:tcW w:w="3397" w:type="dxa"/>
          </w:tcPr>
          <w:p w14:paraId="15F3F54D" w14:textId="7A81DF7A" w:rsidR="00956C67" w:rsidRPr="003A6F20" w:rsidRDefault="00956C67" w:rsidP="00956C67">
            <w:pPr>
              <w:pStyle w:val="ListParagraph"/>
              <w:numPr>
                <w:ilvl w:val="0"/>
                <w:numId w:val="6"/>
              </w:numPr>
              <w:spacing w:after="0"/>
              <w:rPr>
                <w:rFonts w:ascii="Times New Roman" w:hAnsi="Times New Roman"/>
                <w:b/>
                <w:bCs/>
                <w:color w:val="000000" w:themeColor="text1"/>
                <w:sz w:val="24"/>
                <w:szCs w:val="24"/>
                <w:lang w:val="ro-MD"/>
              </w:rPr>
            </w:pPr>
            <w:r w:rsidRPr="003A6F20">
              <w:rPr>
                <w:rFonts w:ascii="Times New Roman" w:hAnsi="Times New Roman"/>
                <w:b/>
                <w:bCs/>
                <w:color w:val="000000" w:themeColor="text1"/>
                <w:sz w:val="24"/>
                <w:szCs w:val="24"/>
                <w:lang w:val="pt-BR"/>
              </w:rPr>
              <w:t>Directiva 2008/98/CE a Parlamentului European și a Consiliului din 19 noiembrie 2008 privind deșeurile </w:t>
            </w:r>
          </w:p>
        </w:tc>
        <w:tc>
          <w:tcPr>
            <w:tcW w:w="5999" w:type="dxa"/>
          </w:tcPr>
          <w:p w14:paraId="57358E17" w14:textId="77777777" w:rsidR="00956C67" w:rsidRDefault="00956C67" w:rsidP="00956C67">
            <w:pPr>
              <w:spacing w:after="0"/>
              <w:ind w:firstLine="0"/>
              <w:rPr>
                <w:rFonts w:ascii="Times New Roman" w:hAnsi="Times New Roman"/>
                <w:b/>
                <w:bCs/>
                <w:i/>
                <w:iCs/>
                <w:color w:val="000000" w:themeColor="text1"/>
                <w:sz w:val="24"/>
                <w:szCs w:val="24"/>
              </w:rPr>
            </w:pPr>
            <w:r w:rsidRPr="00956C67">
              <w:rPr>
                <w:rFonts w:ascii="Times New Roman" w:hAnsi="Times New Roman"/>
                <w:b/>
                <w:bCs/>
                <w:i/>
                <w:iCs/>
                <w:color w:val="000000" w:themeColor="text1"/>
                <w:sz w:val="24"/>
                <w:szCs w:val="24"/>
              </w:rPr>
              <w:t>Articolul 11 Reutilizarea și reciclarea</w:t>
            </w:r>
          </w:p>
          <w:p w14:paraId="1F61036A" w14:textId="77777777" w:rsidR="00956C67" w:rsidRDefault="00956C67" w:rsidP="00956C67">
            <w:pPr>
              <w:spacing w:after="0"/>
              <w:ind w:firstLine="0"/>
              <w:rPr>
                <w:rFonts w:ascii="Times New Roman" w:hAnsi="Times New Roman"/>
                <w:color w:val="000000" w:themeColor="text1"/>
                <w:sz w:val="24"/>
                <w:szCs w:val="24"/>
              </w:rPr>
            </w:pPr>
            <w:r w:rsidRPr="00956C67">
              <w:rPr>
                <w:rFonts w:ascii="Times New Roman" w:hAnsi="Times New Roman"/>
                <w:color w:val="000000" w:themeColor="text1"/>
                <w:sz w:val="24"/>
                <w:szCs w:val="24"/>
              </w:rPr>
              <w:t xml:space="preserve">Pentru respectarea obiectivelor prezentei directive și pentru a evolua în direcția unei societăți europene a reciclării cu un înalt nivel de eficiență a folosirii resurselor, statele membre adoptă măsurile necesare destinate realizării următoarelor obiective: </w:t>
            </w:r>
          </w:p>
          <w:p w14:paraId="31AAB601" w14:textId="77777777" w:rsidR="00956C67" w:rsidRDefault="00956C67" w:rsidP="00956C67">
            <w:pPr>
              <w:spacing w:after="0"/>
              <w:ind w:firstLine="0"/>
              <w:rPr>
                <w:rFonts w:ascii="Times New Roman" w:hAnsi="Times New Roman"/>
                <w:color w:val="000000" w:themeColor="text1"/>
                <w:sz w:val="24"/>
                <w:szCs w:val="24"/>
              </w:rPr>
            </w:pPr>
          </w:p>
          <w:p w14:paraId="2DFDE505" w14:textId="77777777" w:rsidR="00956C67" w:rsidRDefault="00956C67" w:rsidP="00956C67">
            <w:pPr>
              <w:spacing w:after="0"/>
              <w:ind w:firstLine="0"/>
              <w:rPr>
                <w:rFonts w:ascii="Times New Roman" w:hAnsi="Times New Roman"/>
                <w:color w:val="000000" w:themeColor="text1"/>
                <w:sz w:val="24"/>
                <w:szCs w:val="24"/>
              </w:rPr>
            </w:pPr>
            <w:r w:rsidRPr="00956C67">
              <w:rPr>
                <w:rFonts w:ascii="Times New Roman" w:hAnsi="Times New Roman"/>
                <w:color w:val="000000" w:themeColor="text1"/>
                <w:sz w:val="24"/>
                <w:szCs w:val="24"/>
              </w:rPr>
              <w:t xml:space="preserve">(a) </w:t>
            </w:r>
            <w:r w:rsidRPr="00956C67">
              <w:rPr>
                <w:rFonts w:ascii="Times New Roman" w:hAnsi="Times New Roman"/>
                <w:strike/>
                <w:color w:val="000000" w:themeColor="text1"/>
                <w:sz w:val="24"/>
                <w:szCs w:val="24"/>
              </w:rPr>
              <w:t>până în 2020</w:t>
            </w:r>
            <w:r w:rsidRPr="00956C67">
              <w:rPr>
                <w:rFonts w:ascii="Times New Roman" w:hAnsi="Times New Roman"/>
                <w:color w:val="000000" w:themeColor="text1"/>
                <w:sz w:val="24"/>
                <w:szCs w:val="24"/>
              </w:rPr>
              <w:t xml:space="preserve">, pregătirea pentru reutilizarea și reciclarea deșeurilor, cum ar fi, cel puțin, hârtie, metal, plastic și sticlă provenind din gospodării și, eventual, provenind din alte surse, în măsura în care aceste fluxuri de deșeuri sunt similare deșeurilor care provin din gospodării, </w:t>
            </w:r>
            <w:r w:rsidRPr="00956C67">
              <w:rPr>
                <w:rFonts w:ascii="Times New Roman" w:hAnsi="Times New Roman"/>
                <w:b/>
                <w:bCs/>
                <w:i/>
                <w:iCs/>
                <w:color w:val="000000" w:themeColor="text1"/>
                <w:sz w:val="24"/>
                <w:szCs w:val="24"/>
              </w:rPr>
              <w:t>se mărește la un nivel minim de 50 % din masa totală</w:t>
            </w:r>
            <w:r w:rsidRPr="00956C67">
              <w:rPr>
                <w:rFonts w:ascii="Times New Roman" w:hAnsi="Times New Roman"/>
                <w:color w:val="000000" w:themeColor="text1"/>
                <w:sz w:val="24"/>
                <w:szCs w:val="24"/>
              </w:rPr>
              <w:t xml:space="preserve">; </w:t>
            </w:r>
          </w:p>
          <w:p w14:paraId="5D645EA2" w14:textId="77777777" w:rsidR="00956C67" w:rsidRDefault="00956C67" w:rsidP="00956C67">
            <w:pPr>
              <w:spacing w:after="0"/>
              <w:ind w:firstLine="0"/>
              <w:rPr>
                <w:rFonts w:ascii="Times New Roman" w:hAnsi="Times New Roman"/>
                <w:color w:val="000000" w:themeColor="text1"/>
                <w:sz w:val="24"/>
                <w:szCs w:val="24"/>
              </w:rPr>
            </w:pPr>
          </w:p>
          <w:p w14:paraId="0B248284" w14:textId="77777777" w:rsidR="00956C67" w:rsidRDefault="00956C67" w:rsidP="00956C67">
            <w:pPr>
              <w:spacing w:after="0"/>
              <w:ind w:firstLine="0"/>
              <w:rPr>
                <w:rFonts w:ascii="Times New Roman" w:hAnsi="Times New Roman"/>
                <w:b/>
                <w:bCs/>
                <w:i/>
                <w:iCs/>
                <w:color w:val="000000" w:themeColor="text1"/>
                <w:sz w:val="24"/>
                <w:szCs w:val="24"/>
              </w:rPr>
            </w:pPr>
            <w:r w:rsidRPr="00956C67">
              <w:rPr>
                <w:rFonts w:ascii="Times New Roman" w:hAnsi="Times New Roman"/>
                <w:color w:val="000000" w:themeColor="text1"/>
                <w:sz w:val="24"/>
                <w:szCs w:val="24"/>
              </w:rPr>
              <w:t xml:space="preserve">(b) </w:t>
            </w:r>
            <w:r w:rsidRPr="00956C67">
              <w:rPr>
                <w:rFonts w:ascii="Times New Roman" w:hAnsi="Times New Roman"/>
                <w:strike/>
                <w:color w:val="000000" w:themeColor="text1"/>
                <w:sz w:val="24"/>
                <w:szCs w:val="24"/>
              </w:rPr>
              <w:t>până în 2020</w:t>
            </w:r>
            <w:r w:rsidRPr="00956C67">
              <w:rPr>
                <w:rFonts w:ascii="Times New Roman" w:hAnsi="Times New Roman"/>
                <w:color w:val="000000" w:themeColor="text1"/>
                <w:sz w:val="24"/>
                <w:szCs w:val="24"/>
              </w:rPr>
              <w:t xml:space="preserve">, pregătirea pentru reutilizarea, reciclarea și alte operațiuni de valorificare materială, inclusiv operațiuni de umplere care utilizează deșeuri pentru a înlocui alte materiale, a deșeurilor nepericuloase provenind din activități de construcție și demolări, </w:t>
            </w:r>
            <w:r w:rsidRPr="00956C67">
              <w:rPr>
                <w:rFonts w:ascii="Times New Roman" w:hAnsi="Times New Roman"/>
                <w:strike/>
                <w:color w:val="000000" w:themeColor="text1"/>
                <w:sz w:val="24"/>
                <w:szCs w:val="24"/>
              </w:rPr>
              <w:t>cu excepția materialelor geologice naturale definite la categoria 17 05 04 din CED</w:t>
            </w:r>
            <w:r w:rsidRPr="00956C67">
              <w:rPr>
                <w:rFonts w:ascii="Times New Roman" w:hAnsi="Times New Roman"/>
                <w:color w:val="000000" w:themeColor="text1"/>
                <w:sz w:val="24"/>
                <w:szCs w:val="24"/>
              </w:rPr>
              <w:t xml:space="preserve">, </w:t>
            </w:r>
            <w:r w:rsidRPr="00956C67">
              <w:rPr>
                <w:rFonts w:ascii="Times New Roman" w:hAnsi="Times New Roman"/>
                <w:b/>
                <w:bCs/>
                <w:i/>
                <w:iCs/>
                <w:color w:val="000000" w:themeColor="text1"/>
                <w:sz w:val="24"/>
                <w:szCs w:val="24"/>
              </w:rPr>
              <w:t>se mărește la un nivel minim de 70 % din masă.</w:t>
            </w:r>
          </w:p>
          <w:p w14:paraId="7A098C0B" w14:textId="77777777" w:rsidR="00956C67" w:rsidRDefault="00956C67" w:rsidP="00956C67">
            <w:pPr>
              <w:spacing w:after="0"/>
              <w:ind w:firstLine="0"/>
              <w:rPr>
                <w:rFonts w:ascii="Times New Roman" w:hAnsi="Times New Roman"/>
                <w:color w:val="000000" w:themeColor="text1"/>
                <w:sz w:val="24"/>
                <w:szCs w:val="24"/>
              </w:rPr>
            </w:pPr>
          </w:p>
          <w:p w14:paraId="4B16536E" w14:textId="4942BAF7" w:rsidR="00956C67" w:rsidRPr="00956C67" w:rsidRDefault="00956C67" w:rsidP="00956C67">
            <w:pPr>
              <w:spacing w:after="0"/>
              <w:ind w:firstLine="0"/>
              <w:jc w:val="center"/>
              <w:rPr>
                <w:rFonts w:ascii="Times New Roman" w:hAnsi="Times New Roman"/>
                <w:b/>
                <w:bCs/>
                <w:i/>
                <w:iCs/>
                <w:color w:val="000000" w:themeColor="text1"/>
                <w:sz w:val="24"/>
                <w:szCs w:val="24"/>
                <w:lang w:val="ro-MD"/>
              </w:rPr>
            </w:pPr>
            <w:r w:rsidRPr="00956C67">
              <w:rPr>
                <w:rFonts w:ascii="Times New Roman" w:hAnsi="Times New Roman"/>
                <w:b/>
                <w:bCs/>
                <w:i/>
                <w:iCs/>
                <w:color w:val="000000" w:themeColor="text1"/>
                <w:sz w:val="24"/>
                <w:szCs w:val="24"/>
              </w:rPr>
              <w:t>Pentru implementarea prevederilor R.M. planifică solicitarea unei perioade de tranziții de 15 ani.</w:t>
            </w:r>
          </w:p>
        </w:tc>
      </w:tr>
      <w:tr w:rsidR="00956C67" w:rsidRPr="00956C67" w14:paraId="70691EE7" w14:textId="77777777" w:rsidTr="00956C67">
        <w:tc>
          <w:tcPr>
            <w:tcW w:w="3397" w:type="dxa"/>
          </w:tcPr>
          <w:p w14:paraId="2A374D8E" w14:textId="357DCD6C" w:rsidR="00956C67" w:rsidRPr="003A6F20" w:rsidRDefault="003A6F20" w:rsidP="00956C67">
            <w:pPr>
              <w:pStyle w:val="ListParagraph"/>
              <w:numPr>
                <w:ilvl w:val="0"/>
                <w:numId w:val="6"/>
              </w:numPr>
              <w:spacing w:after="0"/>
              <w:rPr>
                <w:rFonts w:ascii="Times New Roman" w:hAnsi="Times New Roman"/>
                <w:b/>
                <w:bCs/>
                <w:color w:val="000000" w:themeColor="text1"/>
                <w:sz w:val="24"/>
                <w:szCs w:val="24"/>
                <w:lang w:val="ro-MD"/>
              </w:rPr>
            </w:pPr>
            <w:r w:rsidRPr="003A6F20">
              <w:rPr>
                <w:rFonts w:ascii="Times New Roman" w:hAnsi="Times New Roman"/>
                <w:b/>
                <w:bCs/>
                <w:color w:val="000000" w:themeColor="text1"/>
                <w:sz w:val="24"/>
                <w:szCs w:val="24"/>
                <w:lang w:val="ro-RO"/>
              </w:rPr>
              <w:t>Directivei 94/62/CE privind ambalajele și deșeurile de ambalaje</w:t>
            </w:r>
          </w:p>
        </w:tc>
        <w:tc>
          <w:tcPr>
            <w:tcW w:w="5999" w:type="dxa"/>
          </w:tcPr>
          <w:p w14:paraId="66ED166C" w14:textId="670BF466" w:rsidR="00956C67" w:rsidRDefault="00883A5B" w:rsidP="00EC6D53">
            <w:pPr>
              <w:spacing w:after="0"/>
              <w:rPr>
                <w:rFonts w:ascii="Times New Roman" w:hAnsi="Times New Roman"/>
                <w:color w:val="000000" w:themeColor="text1"/>
                <w:sz w:val="24"/>
                <w:szCs w:val="24"/>
              </w:rPr>
            </w:pPr>
            <w:r w:rsidRPr="00883A5B">
              <w:rPr>
                <w:rFonts w:ascii="Times New Roman" w:hAnsi="Times New Roman"/>
                <w:color w:val="000000" w:themeColor="text1"/>
                <w:sz w:val="24"/>
                <w:szCs w:val="24"/>
              </w:rPr>
              <w:t xml:space="preserve">Articolul 6 prevede că ambalajele trebuie să fie reciclabile și stabilește cerințele care vor trebui îndeplinite într-o abordare în două etape. Începând cu 1.1.2030, ambalajele vor trebui să respecte criteriile de proiectare pentru reciclare, iar începând cu 1.1.2035, cerințele vor fi ajustate în continuare pentru a se asigura că ambalajele reciclabile sunt, de asemenea, colectate, sortate și reciclate suficient și eficient („reciclate la scară largă”). Criteriile pentru proiectarea reciclării și metodologia de evaluare a dacă ambalajele sunt reciclate la scară largă vor fi stabilite în acte delegate care urmează să fie adoptate de Comisie. Aplicarea diferențiată a acestor prevederi este necesară pentru a adopta legislația necesară care detaliază cerințele de reciclabilitate și pentru a acorda industriei suficient timp pentru a se adapta la noile norme. Această prevedere </w:t>
            </w:r>
            <w:r w:rsidRPr="00883A5B">
              <w:rPr>
                <w:rFonts w:ascii="Times New Roman" w:hAnsi="Times New Roman"/>
                <w:color w:val="000000" w:themeColor="text1"/>
                <w:sz w:val="24"/>
                <w:szCs w:val="24"/>
              </w:rPr>
              <w:lastRenderedPageBreak/>
              <w:t>stabilește, de asemenea, regula conform căreia contribuțiile financiare care trebuie plătite de producători pentru a se conforma obligațiilor lor de răspundere extinsă a producătorilor vor fi modulate în funcție de gradele de performanță de reciclabilitate conform criteriilor de proiectare pentru reciclare, care vor fi actualizate pentru a include pragurile de reciclabilitate la scară largă care vor fi aplicate începând cu 2035. În cele din urmă, sunt stabilite reguli specifice pentru ambalajele inovatoare pentru care cerințele de reciclabilitate vor trebui documentate doar la 5 ani de la prima lor introducere pe piață. În plus, ambalajele imediate care îndeplinesc definiția ambalajului imediat de la articolul 4 alineatul (25) din Regulamentul (UE) 2019/6, precum și ambalajele din plastic sensibile la contact ale dispozitivelor medicale care intră sub incidența Regulamentului (UE) 2017/745 și ale dispozitivelor medicale pentru diagnostic in vitro care intră sub incidența Regulamentului (UE) 2017/746 sunt exceptate de la cerințele de recicla</w:t>
            </w:r>
            <w:r w:rsidR="003A6F20">
              <w:rPr>
                <w:rFonts w:ascii="Times New Roman" w:hAnsi="Times New Roman"/>
                <w:color w:val="000000" w:themeColor="text1"/>
                <w:sz w:val="24"/>
                <w:szCs w:val="24"/>
              </w:rPr>
              <w:t>re</w:t>
            </w:r>
            <w:r w:rsidRPr="00883A5B">
              <w:rPr>
                <w:rFonts w:ascii="Times New Roman" w:hAnsi="Times New Roman"/>
                <w:color w:val="000000" w:themeColor="text1"/>
                <w:sz w:val="24"/>
                <w:szCs w:val="24"/>
              </w:rPr>
              <w:t xml:space="preserve"> stabilite în temeiul prezentului articol până în 2034 pentru a ține cont de considerațiile privind sănătatea și siguranța umană și animală.</w:t>
            </w:r>
          </w:p>
          <w:p w14:paraId="0CBEB546" w14:textId="03E7289A" w:rsidR="00883A5B" w:rsidRPr="003A6F20" w:rsidRDefault="00883A5B" w:rsidP="00EC6D53">
            <w:pPr>
              <w:spacing w:after="0"/>
              <w:rPr>
                <w:rFonts w:ascii="Times New Roman" w:hAnsi="Times New Roman"/>
                <w:b/>
                <w:bCs/>
                <w:color w:val="000000" w:themeColor="text1"/>
                <w:sz w:val="24"/>
                <w:szCs w:val="24"/>
              </w:rPr>
            </w:pPr>
            <w:r w:rsidRPr="003A6F20">
              <w:rPr>
                <w:rFonts w:ascii="Times New Roman" w:hAnsi="Times New Roman"/>
                <w:b/>
                <w:bCs/>
                <w:color w:val="000000" w:themeColor="text1"/>
                <w:sz w:val="24"/>
                <w:szCs w:val="24"/>
              </w:rPr>
              <w:t xml:space="preserve">Articolul </w:t>
            </w:r>
            <w:r w:rsidR="003A6F20" w:rsidRPr="003A6F20">
              <w:rPr>
                <w:rFonts w:ascii="Times New Roman" w:hAnsi="Times New Roman"/>
                <w:b/>
                <w:bCs/>
                <w:color w:val="000000" w:themeColor="text1"/>
                <w:sz w:val="24"/>
                <w:szCs w:val="24"/>
              </w:rPr>
              <w:t>6</w:t>
            </w:r>
            <w:r w:rsidRPr="003A6F20">
              <w:rPr>
                <w:rFonts w:ascii="Times New Roman" w:hAnsi="Times New Roman"/>
                <w:b/>
                <w:bCs/>
                <w:color w:val="000000" w:themeColor="text1"/>
                <w:sz w:val="24"/>
                <w:szCs w:val="24"/>
              </w:rPr>
              <w:t xml:space="preserve">: </w:t>
            </w:r>
          </w:p>
          <w:p w14:paraId="3EBCA490" w14:textId="6601F855" w:rsidR="00883A5B" w:rsidRPr="00883A5B" w:rsidRDefault="00883A5B" w:rsidP="00883A5B">
            <w:pPr>
              <w:pStyle w:val="ListParagraph"/>
              <w:numPr>
                <w:ilvl w:val="0"/>
                <w:numId w:val="7"/>
              </w:numPr>
              <w:spacing w:after="0"/>
              <w:rPr>
                <w:rFonts w:ascii="Times New Roman" w:hAnsi="Times New Roman"/>
                <w:color w:val="000000" w:themeColor="text1"/>
                <w:sz w:val="24"/>
                <w:szCs w:val="24"/>
                <w:lang w:val="pt-BR"/>
              </w:rPr>
            </w:pPr>
            <w:r w:rsidRPr="00883A5B">
              <w:rPr>
                <w:rFonts w:ascii="Times New Roman" w:hAnsi="Times New Roman"/>
                <w:color w:val="000000" w:themeColor="text1"/>
                <w:sz w:val="24"/>
                <w:szCs w:val="24"/>
                <w:lang w:val="pt-BR"/>
              </w:rPr>
              <w:t xml:space="preserve">la alineatul (1), se adaugă următoarele litere: </w:t>
            </w:r>
          </w:p>
          <w:p w14:paraId="3A133798" w14:textId="77777777" w:rsidR="003A6F20" w:rsidRDefault="00883A5B" w:rsidP="00883A5B">
            <w:pPr>
              <w:spacing w:after="0"/>
              <w:ind w:firstLine="0"/>
              <w:rPr>
                <w:rFonts w:ascii="Times New Roman" w:hAnsi="Times New Roman"/>
                <w:color w:val="000000" w:themeColor="text1"/>
                <w:sz w:val="24"/>
                <w:szCs w:val="24"/>
              </w:rPr>
            </w:pPr>
            <w:r w:rsidRPr="00883A5B">
              <w:rPr>
                <w:rFonts w:ascii="Times New Roman" w:hAnsi="Times New Roman"/>
                <w:color w:val="000000" w:themeColor="text1"/>
                <w:sz w:val="24"/>
                <w:szCs w:val="24"/>
              </w:rPr>
              <w:t>„(f) cel târziu până la 31 decembrie 2025, minimum 65 % din greutatea tuturor deșeurilor de ambalaje va fi reciclată;</w:t>
            </w:r>
          </w:p>
          <w:p w14:paraId="1372334C" w14:textId="77777777" w:rsidR="003A6F20" w:rsidRDefault="00883A5B" w:rsidP="00883A5B">
            <w:pPr>
              <w:spacing w:after="0"/>
              <w:ind w:firstLine="0"/>
              <w:rPr>
                <w:rFonts w:ascii="Times New Roman" w:hAnsi="Times New Roman"/>
                <w:color w:val="000000" w:themeColor="text1"/>
                <w:sz w:val="24"/>
                <w:szCs w:val="24"/>
              </w:rPr>
            </w:pPr>
            <w:r w:rsidRPr="00883A5B">
              <w:rPr>
                <w:rFonts w:ascii="Times New Roman" w:hAnsi="Times New Roman"/>
                <w:color w:val="000000" w:themeColor="text1"/>
                <w:sz w:val="24"/>
                <w:szCs w:val="24"/>
              </w:rPr>
              <w:t xml:space="preserve"> (g) cel târziu până la 31 decembrie 2025, se vor îndeplini următoarele obiective minime, stabilite ca procent din greutate, în ceea ce privește reciclarea următoarelor materiale specifice conținute în deșeurile de ambalaje: </w:t>
            </w:r>
          </w:p>
          <w:p w14:paraId="21E1C88E" w14:textId="77777777" w:rsidR="006216FD" w:rsidRDefault="006216FD" w:rsidP="00883A5B">
            <w:pPr>
              <w:spacing w:after="0"/>
              <w:ind w:firstLine="0"/>
              <w:rPr>
                <w:rFonts w:ascii="Times New Roman" w:hAnsi="Times New Roman"/>
                <w:color w:val="000000" w:themeColor="text1"/>
                <w:sz w:val="24"/>
                <w:szCs w:val="24"/>
              </w:rPr>
            </w:pPr>
          </w:p>
          <w:p w14:paraId="2688CF4E" w14:textId="77777777" w:rsidR="003A6F20" w:rsidRDefault="00883A5B" w:rsidP="00883A5B">
            <w:pPr>
              <w:spacing w:after="0"/>
              <w:ind w:firstLine="0"/>
              <w:rPr>
                <w:rFonts w:ascii="Times New Roman" w:hAnsi="Times New Roman"/>
                <w:color w:val="000000" w:themeColor="text1"/>
                <w:sz w:val="24"/>
                <w:szCs w:val="24"/>
              </w:rPr>
            </w:pPr>
            <w:r w:rsidRPr="00883A5B">
              <w:rPr>
                <w:rFonts w:ascii="Times New Roman" w:hAnsi="Times New Roman"/>
                <w:color w:val="000000" w:themeColor="text1"/>
                <w:sz w:val="24"/>
                <w:szCs w:val="24"/>
              </w:rPr>
              <w:t xml:space="preserve">(i) 50 % pentru plastic; </w:t>
            </w:r>
          </w:p>
          <w:p w14:paraId="48BD4FC8" w14:textId="77777777" w:rsidR="003A6F20" w:rsidRDefault="00883A5B" w:rsidP="00883A5B">
            <w:pPr>
              <w:spacing w:after="0"/>
              <w:ind w:firstLine="0"/>
              <w:rPr>
                <w:rFonts w:ascii="Times New Roman" w:hAnsi="Times New Roman"/>
                <w:color w:val="000000" w:themeColor="text1"/>
                <w:sz w:val="24"/>
                <w:szCs w:val="24"/>
              </w:rPr>
            </w:pPr>
            <w:r w:rsidRPr="00883A5B">
              <w:rPr>
                <w:rFonts w:ascii="Times New Roman" w:hAnsi="Times New Roman"/>
                <w:color w:val="000000" w:themeColor="text1"/>
                <w:sz w:val="24"/>
                <w:szCs w:val="24"/>
              </w:rPr>
              <w:t xml:space="preserve">(ii) 25 % pentru lemn; </w:t>
            </w:r>
          </w:p>
          <w:p w14:paraId="2534F1CB" w14:textId="77777777" w:rsidR="003A6F20" w:rsidRDefault="00883A5B" w:rsidP="00883A5B">
            <w:pPr>
              <w:spacing w:after="0"/>
              <w:ind w:firstLine="0"/>
              <w:rPr>
                <w:rFonts w:ascii="Times New Roman" w:hAnsi="Times New Roman"/>
                <w:color w:val="000000" w:themeColor="text1"/>
                <w:sz w:val="24"/>
                <w:szCs w:val="24"/>
              </w:rPr>
            </w:pPr>
            <w:r w:rsidRPr="00883A5B">
              <w:rPr>
                <w:rFonts w:ascii="Times New Roman" w:hAnsi="Times New Roman"/>
                <w:color w:val="000000" w:themeColor="text1"/>
                <w:sz w:val="24"/>
                <w:szCs w:val="24"/>
              </w:rPr>
              <w:t xml:space="preserve">(iii) 70 % pentru metale feroase; </w:t>
            </w:r>
          </w:p>
          <w:p w14:paraId="00612423" w14:textId="77777777" w:rsidR="003A6F20" w:rsidRDefault="00883A5B" w:rsidP="00883A5B">
            <w:pPr>
              <w:spacing w:after="0"/>
              <w:ind w:firstLine="0"/>
              <w:rPr>
                <w:rFonts w:ascii="Times New Roman" w:hAnsi="Times New Roman"/>
                <w:color w:val="000000" w:themeColor="text1"/>
                <w:sz w:val="24"/>
                <w:szCs w:val="24"/>
              </w:rPr>
            </w:pPr>
            <w:r w:rsidRPr="00883A5B">
              <w:rPr>
                <w:rFonts w:ascii="Times New Roman" w:hAnsi="Times New Roman"/>
                <w:color w:val="000000" w:themeColor="text1"/>
                <w:sz w:val="24"/>
                <w:szCs w:val="24"/>
              </w:rPr>
              <w:t xml:space="preserve">(iv) 50 % pentru aluminiu; </w:t>
            </w:r>
          </w:p>
          <w:p w14:paraId="7808725F" w14:textId="77777777" w:rsidR="003A6F20" w:rsidRDefault="00883A5B" w:rsidP="00883A5B">
            <w:pPr>
              <w:spacing w:after="0"/>
              <w:ind w:firstLine="0"/>
              <w:rPr>
                <w:rFonts w:ascii="Times New Roman" w:hAnsi="Times New Roman"/>
                <w:color w:val="000000" w:themeColor="text1"/>
                <w:sz w:val="24"/>
                <w:szCs w:val="24"/>
              </w:rPr>
            </w:pPr>
            <w:r w:rsidRPr="00883A5B">
              <w:rPr>
                <w:rFonts w:ascii="Times New Roman" w:hAnsi="Times New Roman"/>
                <w:color w:val="000000" w:themeColor="text1"/>
                <w:sz w:val="24"/>
                <w:szCs w:val="24"/>
              </w:rPr>
              <w:t xml:space="preserve">(v) 70 % pentru sticlă; </w:t>
            </w:r>
          </w:p>
          <w:p w14:paraId="06115FA1" w14:textId="77777777" w:rsidR="003A6F20" w:rsidRDefault="00883A5B" w:rsidP="00883A5B">
            <w:pPr>
              <w:spacing w:after="0"/>
              <w:ind w:firstLine="0"/>
              <w:rPr>
                <w:rFonts w:ascii="Times New Roman" w:hAnsi="Times New Roman"/>
                <w:color w:val="000000" w:themeColor="text1"/>
                <w:sz w:val="24"/>
                <w:szCs w:val="24"/>
              </w:rPr>
            </w:pPr>
            <w:r w:rsidRPr="00883A5B">
              <w:rPr>
                <w:rFonts w:ascii="Times New Roman" w:hAnsi="Times New Roman"/>
                <w:color w:val="000000" w:themeColor="text1"/>
                <w:sz w:val="24"/>
                <w:szCs w:val="24"/>
              </w:rPr>
              <w:t xml:space="preserve">(vi) 75 % pentru hârtie și carton; </w:t>
            </w:r>
          </w:p>
          <w:p w14:paraId="684EC085" w14:textId="77777777" w:rsidR="003A6F20" w:rsidRDefault="003A6F20" w:rsidP="00883A5B">
            <w:pPr>
              <w:spacing w:after="0"/>
              <w:ind w:firstLine="0"/>
              <w:rPr>
                <w:rFonts w:ascii="Times New Roman" w:hAnsi="Times New Roman"/>
                <w:color w:val="000000" w:themeColor="text1"/>
                <w:sz w:val="24"/>
                <w:szCs w:val="24"/>
              </w:rPr>
            </w:pPr>
          </w:p>
          <w:p w14:paraId="1F00A408" w14:textId="77777777" w:rsidR="003A6F20" w:rsidRDefault="00883A5B" w:rsidP="00883A5B">
            <w:pPr>
              <w:spacing w:after="0"/>
              <w:ind w:firstLine="0"/>
              <w:rPr>
                <w:rFonts w:ascii="Times New Roman" w:hAnsi="Times New Roman"/>
                <w:color w:val="000000" w:themeColor="text1"/>
                <w:sz w:val="24"/>
                <w:szCs w:val="24"/>
              </w:rPr>
            </w:pPr>
            <w:r w:rsidRPr="00883A5B">
              <w:rPr>
                <w:rFonts w:ascii="Times New Roman" w:hAnsi="Times New Roman"/>
                <w:color w:val="000000" w:themeColor="text1"/>
                <w:sz w:val="24"/>
                <w:szCs w:val="24"/>
              </w:rPr>
              <w:t xml:space="preserve">(h) cel târziu până la 31 decembrie 2030, minimum 70 % din greutatea tuturor deșeurilor de ambalaje va fi reciclată; </w:t>
            </w:r>
          </w:p>
          <w:p w14:paraId="55C9C9A2" w14:textId="77777777" w:rsidR="003A6F20" w:rsidRDefault="003A6F20" w:rsidP="00883A5B">
            <w:pPr>
              <w:spacing w:after="0"/>
              <w:ind w:firstLine="0"/>
              <w:rPr>
                <w:rFonts w:ascii="Times New Roman" w:hAnsi="Times New Roman"/>
                <w:color w:val="000000" w:themeColor="text1"/>
                <w:sz w:val="24"/>
                <w:szCs w:val="24"/>
              </w:rPr>
            </w:pPr>
          </w:p>
          <w:p w14:paraId="05D3A043" w14:textId="77777777" w:rsidR="006216FD" w:rsidRDefault="00883A5B" w:rsidP="00883A5B">
            <w:pPr>
              <w:spacing w:after="0"/>
              <w:ind w:firstLine="0"/>
              <w:rPr>
                <w:rFonts w:ascii="Times New Roman" w:hAnsi="Times New Roman"/>
                <w:color w:val="000000" w:themeColor="text1"/>
                <w:sz w:val="24"/>
                <w:szCs w:val="24"/>
              </w:rPr>
            </w:pPr>
            <w:r w:rsidRPr="00883A5B">
              <w:rPr>
                <w:rFonts w:ascii="Times New Roman" w:hAnsi="Times New Roman"/>
                <w:color w:val="000000" w:themeColor="text1"/>
                <w:sz w:val="24"/>
                <w:szCs w:val="24"/>
              </w:rPr>
              <w:t>(i) cel târziu până la 31 decembrie 2030, se vor îndeplini următoarele obiective minime, stabilite ca procent din greutate, privind reciclarea următoarelor materiale specifice conținute în deșeurile de ambalaje:</w:t>
            </w:r>
          </w:p>
          <w:p w14:paraId="2D340404" w14:textId="6DD7AB4D" w:rsidR="003A6F20" w:rsidRDefault="00883A5B" w:rsidP="00883A5B">
            <w:pPr>
              <w:spacing w:after="0"/>
              <w:ind w:firstLine="0"/>
              <w:rPr>
                <w:rFonts w:ascii="Times New Roman" w:hAnsi="Times New Roman"/>
                <w:color w:val="000000" w:themeColor="text1"/>
                <w:sz w:val="24"/>
                <w:szCs w:val="24"/>
              </w:rPr>
            </w:pPr>
            <w:r w:rsidRPr="00883A5B">
              <w:rPr>
                <w:rFonts w:ascii="Times New Roman" w:hAnsi="Times New Roman"/>
                <w:color w:val="000000" w:themeColor="text1"/>
                <w:sz w:val="24"/>
                <w:szCs w:val="24"/>
              </w:rPr>
              <w:t xml:space="preserve"> </w:t>
            </w:r>
          </w:p>
          <w:p w14:paraId="4AE42771" w14:textId="77777777" w:rsidR="003A6F20" w:rsidRDefault="00883A5B" w:rsidP="00883A5B">
            <w:pPr>
              <w:spacing w:after="0"/>
              <w:ind w:firstLine="0"/>
              <w:rPr>
                <w:rFonts w:ascii="Times New Roman" w:hAnsi="Times New Roman"/>
                <w:color w:val="000000" w:themeColor="text1"/>
                <w:sz w:val="24"/>
                <w:szCs w:val="24"/>
              </w:rPr>
            </w:pPr>
            <w:r w:rsidRPr="00883A5B">
              <w:rPr>
                <w:rFonts w:ascii="Times New Roman" w:hAnsi="Times New Roman"/>
                <w:color w:val="000000" w:themeColor="text1"/>
                <w:sz w:val="24"/>
                <w:szCs w:val="24"/>
              </w:rPr>
              <w:t xml:space="preserve">(i) 55 % pentru plastic; </w:t>
            </w:r>
          </w:p>
          <w:p w14:paraId="367910B1" w14:textId="77777777" w:rsidR="003A6F20" w:rsidRDefault="00883A5B" w:rsidP="00883A5B">
            <w:pPr>
              <w:spacing w:after="0"/>
              <w:ind w:firstLine="0"/>
              <w:rPr>
                <w:rFonts w:ascii="Times New Roman" w:hAnsi="Times New Roman"/>
                <w:color w:val="000000" w:themeColor="text1"/>
                <w:sz w:val="24"/>
                <w:szCs w:val="24"/>
              </w:rPr>
            </w:pPr>
            <w:r w:rsidRPr="00883A5B">
              <w:rPr>
                <w:rFonts w:ascii="Times New Roman" w:hAnsi="Times New Roman"/>
                <w:color w:val="000000" w:themeColor="text1"/>
                <w:sz w:val="24"/>
                <w:szCs w:val="24"/>
              </w:rPr>
              <w:t xml:space="preserve">(ii) 30 % pentru lemn; </w:t>
            </w:r>
          </w:p>
          <w:p w14:paraId="662D2A5E" w14:textId="77777777" w:rsidR="003A6F20" w:rsidRDefault="00883A5B" w:rsidP="00883A5B">
            <w:pPr>
              <w:spacing w:after="0"/>
              <w:ind w:firstLine="0"/>
              <w:rPr>
                <w:rFonts w:ascii="Times New Roman" w:hAnsi="Times New Roman"/>
                <w:color w:val="000000" w:themeColor="text1"/>
                <w:sz w:val="24"/>
                <w:szCs w:val="24"/>
              </w:rPr>
            </w:pPr>
            <w:r w:rsidRPr="00883A5B">
              <w:rPr>
                <w:rFonts w:ascii="Times New Roman" w:hAnsi="Times New Roman"/>
                <w:color w:val="000000" w:themeColor="text1"/>
                <w:sz w:val="24"/>
                <w:szCs w:val="24"/>
              </w:rPr>
              <w:t xml:space="preserve">(iii) 80 % pentru metale feroase; </w:t>
            </w:r>
          </w:p>
          <w:p w14:paraId="60A786A0" w14:textId="77777777" w:rsidR="003A6F20" w:rsidRDefault="00883A5B" w:rsidP="00883A5B">
            <w:pPr>
              <w:spacing w:after="0"/>
              <w:ind w:firstLine="0"/>
              <w:rPr>
                <w:rFonts w:ascii="Times New Roman" w:hAnsi="Times New Roman"/>
                <w:color w:val="000000" w:themeColor="text1"/>
                <w:sz w:val="24"/>
                <w:szCs w:val="24"/>
              </w:rPr>
            </w:pPr>
            <w:r w:rsidRPr="00883A5B">
              <w:rPr>
                <w:rFonts w:ascii="Times New Roman" w:hAnsi="Times New Roman"/>
                <w:color w:val="000000" w:themeColor="text1"/>
                <w:sz w:val="24"/>
                <w:szCs w:val="24"/>
              </w:rPr>
              <w:t xml:space="preserve">(iv) 60 % pentru aluminiu; </w:t>
            </w:r>
          </w:p>
          <w:p w14:paraId="7B85A4F3" w14:textId="77777777" w:rsidR="003A6F20" w:rsidRDefault="00883A5B" w:rsidP="00883A5B">
            <w:pPr>
              <w:spacing w:after="0"/>
              <w:ind w:firstLine="0"/>
              <w:rPr>
                <w:rFonts w:ascii="Times New Roman" w:hAnsi="Times New Roman"/>
                <w:color w:val="000000" w:themeColor="text1"/>
                <w:sz w:val="24"/>
                <w:szCs w:val="24"/>
              </w:rPr>
            </w:pPr>
            <w:r w:rsidRPr="00883A5B">
              <w:rPr>
                <w:rFonts w:ascii="Times New Roman" w:hAnsi="Times New Roman"/>
                <w:color w:val="000000" w:themeColor="text1"/>
                <w:sz w:val="24"/>
                <w:szCs w:val="24"/>
              </w:rPr>
              <w:t xml:space="preserve">(v) 75 % pentru sticlă; </w:t>
            </w:r>
          </w:p>
          <w:p w14:paraId="3150010F" w14:textId="77777777" w:rsidR="00883A5B" w:rsidRDefault="00883A5B" w:rsidP="00883A5B">
            <w:pPr>
              <w:spacing w:after="0"/>
              <w:ind w:firstLine="0"/>
              <w:rPr>
                <w:rFonts w:ascii="Times New Roman" w:hAnsi="Times New Roman"/>
                <w:color w:val="000000" w:themeColor="text1"/>
                <w:sz w:val="24"/>
                <w:szCs w:val="24"/>
              </w:rPr>
            </w:pPr>
            <w:r w:rsidRPr="00883A5B">
              <w:rPr>
                <w:rFonts w:ascii="Times New Roman" w:hAnsi="Times New Roman"/>
                <w:color w:val="000000" w:themeColor="text1"/>
                <w:sz w:val="24"/>
                <w:szCs w:val="24"/>
              </w:rPr>
              <w:t>(vi) 85 % pentru hârtie și carton.”;</w:t>
            </w:r>
          </w:p>
          <w:p w14:paraId="34EBE5A6" w14:textId="77777777" w:rsidR="003A6F20" w:rsidRDefault="003A6F20" w:rsidP="00883A5B">
            <w:pPr>
              <w:spacing w:after="0"/>
              <w:ind w:firstLine="0"/>
              <w:rPr>
                <w:rFonts w:ascii="Times New Roman" w:hAnsi="Times New Roman"/>
                <w:color w:val="000000" w:themeColor="text1"/>
                <w:sz w:val="24"/>
                <w:szCs w:val="24"/>
              </w:rPr>
            </w:pPr>
          </w:p>
          <w:p w14:paraId="26A7049F" w14:textId="4D478AB2" w:rsidR="003A6F20" w:rsidRPr="00883A5B" w:rsidRDefault="003A6F20" w:rsidP="00546005">
            <w:pPr>
              <w:spacing w:after="0"/>
              <w:ind w:firstLine="0"/>
              <w:jc w:val="center"/>
              <w:rPr>
                <w:rFonts w:ascii="Times New Roman" w:hAnsi="Times New Roman"/>
                <w:color w:val="000000" w:themeColor="text1"/>
                <w:sz w:val="24"/>
                <w:szCs w:val="24"/>
                <w:lang w:val="ro-MD"/>
              </w:rPr>
            </w:pPr>
            <w:r w:rsidRPr="00956C67">
              <w:rPr>
                <w:rFonts w:ascii="Times New Roman" w:hAnsi="Times New Roman"/>
                <w:b/>
                <w:bCs/>
                <w:i/>
                <w:iCs/>
                <w:color w:val="000000" w:themeColor="text1"/>
                <w:sz w:val="24"/>
                <w:szCs w:val="24"/>
              </w:rPr>
              <w:t>Pentru implementarea prevederilor R.M. planifică solicitarea unei perioade de tranziții de 1</w:t>
            </w:r>
            <w:r>
              <w:rPr>
                <w:rFonts w:ascii="Times New Roman" w:hAnsi="Times New Roman"/>
                <w:b/>
                <w:bCs/>
                <w:i/>
                <w:iCs/>
                <w:color w:val="000000" w:themeColor="text1"/>
                <w:sz w:val="24"/>
                <w:szCs w:val="24"/>
              </w:rPr>
              <w:t>0</w:t>
            </w:r>
            <w:r w:rsidRPr="00956C67">
              <w:rPr>
                <w:rFonts w:ascii="Times New Roman" w:hAnsi="Times New Roman"/>
                <w:b/>
                <w:bCs/>
                <w:i/>
                <w:iCs/>
                <w:color w:val="000000" w:themeColor="text1"/>
                <w:sz w:val="24"/>
                <w:szCs w:val="24"/>
              </w:rPr>
              <w:t xml:space="preserve"> ani.</w:t>
            </w:r>
          </w:p>
        </w:tc>
      </w:tr>
      <w:tr w:rsidR="00956C67" w:rsidRPr="00956C67" w14:paraId="1DB3AC0D" w14:textId="77777777" w:rsidTr="00956C67">
        <w:tc>
          <w:tcPr>
            <w:tcW w:w="3397" w:type="dxa"/>
          </w:tcPr>
          <w:p w14:paraId="6B5BB860" w14:textId="7A9585A8" w:rsidR="00546005" w:rsidRPr="00546005" w:rsidRDefault="00546005" w:rsidP="00546005">
            <w:pPr>
              <w:pStyle w:val="ListParagraph"/>
              <w:numPr>
                <w:ilvl w:val="0"/>
                <w:numId w:val="6"/>
              </w:numPr>
              <w:spacing w:after="0"/>
              <w:rPr>
                <w:rFonts w:ascii="Times New Roman" w:hAnsi="Times New Roman"/>
                <w:b/>
                <w:bCs/>
                <w:color w:val="000000" w:themeColor="text1"/>
                <w:sz w:val="24"/>
                <w:szCs w:val="24"/>
              </w:rPr>
            </w:pPr>
            <w:proofErr w:type="spellStart"/>
            <w:r w:rsidRPr="00546005">
              <w:rPr>
                <w:rFonts w:ascii="Times New Roman" w:hAnsi="Times New Roman"/>
                <w:b/>
                <w:bCs/>
                <w:color w:val="000000" w:themeColor="text1"/>
                <w:sz w:val="24"/>
                <w:szCs w:val="24"/>
              </w:rPr>
              <w:lastRenderedPageBreak/>
              <w:t>Directiv</w:t>
            </w:r>
            <w:r>
              <w:rPr>
                <w:rFonts w:ascii="Times New Roman" w:hAnsi="Times New Roman"/>
                <w:b/>
                <w:bCs/>
                <w:color w:val="000000" w:themeColor="text1"/>
                <w:sz w:val="24"/>
                <w:szCs w:val="24"/>
              </w:rPr>
              <w:t>a</w:t>
            </w:r>
            <w:proofErr w:type="spellEnd"/>
            <w:r w:rsidRPr="00546005">
              <w:rPr>
                <w:rFonts w:ascii="Times New Roman" w:hAnsi="Times New Roman"/>
                <w:b/>
                <w:bCs/>
                <w:color w:val="000000" w:themeColor="text1"/>
                <w:sz w:val="24"/>
                <w:szCs w:val="24"/>
              </w:rPr>
              <w:t xml:space="preserve"> 2006/66/CE</w:t>
            </w:r>
          </w:p>
          <w:p w14:paraId="1EEE18D4" w14:textId="77777777" w:rsidR="00546005" w:rsidRPr="00546005" w:rsidRDefault="00546005" w:rsidP="00546005">
            <w:pPr>
              <w:spacing w:after="0"/>
              <w:ind w:firstLine="0"/>
              <w:rPr>
                <w:rFonts w:ascii="Times New Roman" w:hAnsi="Times New Roman"/>
                <w:b/>
                <w:bCs/>
                <w:color w:val="000000" w:themeColor="text1"/>
                <w:sz w:val="24"/>
                <w:szCs w:val="24"/>
              </w:rPr>
            </w:pPr>
          </w:p>
          <w:p w14:paraId="7F9D5C86" w14:textId="77777777" w:rsidR="00956C67" w:rsidRDefault="00546005" w:rsidP="00546005">
            <w:pPr>
              <w:spacing w:after="0"/>
              <w:ind w:firstLine="0"/>
              <w:jc w:val="left"/>
              <w:rPr>
                <w:rFonts w:ascii="Times New Roman" w:hAnsi="Times New Roman"/>
                <w:b/>
                <w:bCs/>
                <w:color w:val="000000" w:themeColor="text1"/>
                <w:sz w:val="24"/>
                <w:szCs w:val="24"/>
              </w:rPr>
            </w:pPr>
            <w:r w:rsidRPr="00546005">
              <w:rPr>
                <w:rFonts w:ascii="Times New Roman" w:hAnsi="Times New Roman"/>
                <w:b/>
                <w:bCs/>
                <w:color w:val="000000" w:themeColor="text1"/>
                <w:sz w:val="24"/>
                <w:szCs w:val="24"/>
              </w:rPr>
              <w:t>REGULAMENTUL (UE) 2023/1542</w:t>
            </w:r>
          </w:p>
          <w:p w14:paraId="0BD36747" w14:textId="4D0E0BAA" w:rsidR="00546005" w:rsidRPr="00956C67" w:rsidRDefault="00546005" w:rsidP="00546005">
            <w:pPr>
              <w:spacing w:after="0"/>
              <w:ind w:firstLine="0"/>
              <w:jc w:val="left"/>
              <w:rPr>
                <w:rFonts w:ascii="Times New Roman" w:hAnsi="Times New Roman"/>
                <w:color w:val="000000" w:themeColor="text1"/>
                <w:sz w:val="24"/>
                <w:szCs w:val="24"/>
                <w:lang w:val="ro-MD"/>
              </w:rPr>
            </w:pPr>
            <w:r>
              <w:rPr>
                <w:rFonts w:ascii="Times New Roman" w:hAnsi="Times New Roman"/>
                <w:color w:val="000000" w:themeColor="text1"/>
                <w:sz w:val="24"/>
                <w:szCs w:val="24"/>
              </w:rPr>
              <w:t>Batteries</w:t>
            </w:r>
          </w:p>
        </w:tc>
        <w:tc>
          <w:tcPr>
            <w:tcW w:w="5999" w:type="dxa"/>
          </w:tcPr>
          <w:p w14:paraId="0D15AC2B" w14:textId="673D3114" w:rsidR="001E5C78" w:rsidRDefault="001E5C78" w:rsidP="001E5C78">
            <w:pPr>
              <w:spacing w:after="0"/>
              <w:ind w:firstLine="0"/>
              <w:rPr>
                <w:rFonts w:ascii="Times New Roman" w:hAnsi="Times New Roman"/>
                <w:color w:val="000000" w:themeColor="text1"/>
                <w:sz w:val="24"/>
                <w:szCs w:val="24"/>
              </w:rPr>
            </w:pPr>
            <w:r w:rsidRPr="001E5C78">
              <w:rPr>
                <w:rFonts w:ascii="Times New Roman" w:hAnsi="Times New Roman"/>
                <w:color w:val="000000" w:themeColor="text1"/>
                <w:sz w:val="24"/>
                <w:szCs w:val="24"/>
              </w:rPr>
              <w:t xml:space="preserve">Producătorii de baterii portabile ating și mențin în mod durabil cel puțin următoarele obiective de colectare a deșeurilor de baterii portabile: </w:t>
            </w:r>
          </w:p>
          <w:p w14:paraId="1A661677" w14:textId="77777777" w:rsidR="00546005" w:rsidRDefault="00546005" w:rsidP="001E5C78">
            <w:pPr>
              <w:spacing w:after="0"/>
              <w:ind w:firstLine="0"/>
              <w:rPr>
                <w:rFonts w:ascii="Times New Roman" w:hAnsi="Times New Roman"/>
                <w:color w:val="000000" w:themeColor="text1"/>
                <w:sz w:val="24"/>
                <w:szCs w:val="24"/>
              </w:rPr>
            </w:pPr>
          </w:p>
          <w:p w14:paraId="60F93F78" w14:textId="77777777" w:rsidR="001E5C78" w:rsidRDefault="001E5C78" w:rsidP="00EC6D53">
            <w:pPr>
              <w:spacing w:after="0"/>
              <w:rPr>
                <w:rFonts w:ascii="Times New Roman" w:hAnsi="Times New Roman"/>
                <w:color w:val="000000" w:themeColor="text1"/>
                <w:sz w:val="24"/>
                <w:szCs w:val="24"/>
              </w:rPr>
            </w:pPr>
            <w:r w:rsidRPr="001E5C78">
              <w:rPr>
                <w:rFonts w:ascii="Times New Roman" w:hAnsi="Times New Roman"/>
                <w:color w:val="000000" w:themeColor="text1"/>
                <w:sz w:val="24"/>
                <w:szCs w:val="24"/>
              </w:rPr>
              <w:t>(a) 45 % până la 31 decembrie 2023;</w:t>
            </w:r>
          </w:p>
          <w:p w14:paraId="59CFA18E" w14:textId="77777777" w:rsidR="001E5C78" w:rsidRDefault="001E5C78" w:rsidP="00EC6D53">
            <w:pPr>
              <w:spacing w:after="0"/>
              <w:rPr>
                <w:rFonts w:ascii="Times New Roman" w:hAnsi="Times New Roman"/>
                <w:color w:val="000000" w:themeColor="text1"/>
                <w:sz w:val="24"/>
                <w:szCs w:val="24"/>
              </w:rPr>
            </w:pPr>
            <w:r w:rsidRPr="001E5C78">
              <w:rPr>
                <w:rFonts w:ascii="Times New Roman" w:hAnsi="Times New Roman"/>
                <w:color w:val="000000" w:themeColor="text1"/>
                <w:sz w:val="24"/>
                <w:szCs w:val="24"/>
              </w:rPr>
              <w:t xml:space="preserve">(b) 63 % până la 31 decembrie 2027; </w:t>
            </w:r>
          </w:p>
          <w:p w14:paraId="1FDB48A0" w14:textId="77777777" w:rsidR="001E5C78" w:rsidRDefault="001E5C78" w:rsidP="001E5C78">
            <w:pPr>
              <w:spacing w:after="0"/>
              <w:rPr>
                <w:rFonts w:ascii="Times New Roman" w:hAnsi="Times New Roman"/>
                <w:color w:val="000000" w:themeColor="text1"/>
                <w:sz w:val="24"/>
                <w:szCs w:val="24"/>
              </w:rPr>
            </w:pPr>
            <w:r w:rsidRPr="001E5C78">
              <w:rPr>
                <w:rFonts w:ascii="Times New Roman" w:hAnsi="Times New Roman"/>
                <w:color w:val="000000" w:themeColor="text1"/>
                <w:sz w:val="24"/>
                <w:szCs w:val="24"/>
              </w:rPr>
              <w:t>(c) 73 % până la 31 decembrie 2030.</w:t>
            </w:r>
          </w:p>
          <w:p w14:paraId="0A32F2B4" w14:textId="77777777" w:rsidR="001E5C78" w:rsidRDefault="001E5C78" w:rsidP="001E5C78">
            <w:pPr>
              <w:spacing w:after="0"/>
              <w:rPr>
                <w:rFonts w:ascii="Times New Roman" w:hAnsi="Times New Roman"/>
                <w:color w:val="000000" w:themeColor="text1"/>
                <w:sz w:val="24"/>
                <w:szCs w:val="24"/>
              </w:rPr>
            </w:pPr>
          </w:p>
          <w:p w14:paraId="63EF60B8" w14:textId="77777777" w:rsidR="00546005" w:rsidRDefault="001E5C78" w:rsidP="001E5C78">
            <w:pPr>
              <w:spacing w:after="0"/>
              <w:ind w:firstLine="0"/>
              <w:rPr>
                <w:rFonts w:ascii="Times New Roman" w:hAnsi="Times New Roman"/>
                <w:color w:val="000000" w:themeColor="text1"/>
                <w:sz w:val="24"/>
                <w:szCs w:val="24"/>
              </w:rPr>
            </w:pPr>
            <w:r w:rsidRPr="001E5C78">
              <w:rPr>
                <w:rFonts w:ascii="Times New Roman" w:hAnsi="Times New Roman"/>
                <w:color w:val="000000" w:themeColor="text1"/>
                <w:sz w:val="24"/>
                <w:szCs w:val="24"/>
              </w:rPr>
              <w:t>Producătorii de baterii LMT ating și mențin în mod durabil cel puțin următoarele obiective de colectare a deșeurilor de baterii LMT</w:t>
            </w:r>
            <w:r w:rsidR="00546005">
              <w:rPr>
                <w:rFonts w:ascii="Times New Roman" w:hAnsi="Times New Roman"/>
                <w:color w:val="000000" w:themeColor="text1"/>
                <w:sz w:val="24"/>
                <w:szCs w:val="24"/>
              </w:rPr>
              <w:t xml:space="preserve"> (baterii pentru mijloace de transport)</w:t>
            </w:r>
            <w:r w:rsidRPr="001E5C78">
              <w:rPr>
                <w:rFonts w:ascii="Times New Roman" w:hAnsi="Times New Roman"/>
                <w:color w:val="000000" w:themeColor="text1"/>
                <w:sz w:val="24"/>
                <w:szCs w:val="24"/>
              </w:rPr>
              <w:t>:</w:t>
            </w:r>
          </w:p>
          <w:p w14:paraId="1EBB4534" w14:textId="561E4FFC" w:rsidR="001E5C78" w:rsidRDefault="001E5C78" w:rsidP="001E5C78">
            <w:pPr>
              <w:spacing w:after="0"/>
              <w:ind w:firstLine="0"/>
              <w:rPr>
                <w:rFonts w:ascii="Times New Roman" w:hAnsi="Times New Roman"/>
                <w:color w:val="000000" w:themeColor="text1"/>
                <w:sz w:val="24"/>
                <w:szCs w:val="24"/>
              </w:rPr>
            </w:pPr>
            <w:r w:rsidRPr="001E5C78">
              <w:rPr>
                <w:rFonts w:ascii="Times New Roman" w:hAnsi="Times New Roman"/>
                <w:color w:val="000000" w:themeColor="text1"/>
                <w:sz w:val="24"/>
                <w:szCs w:val="24"/>
              </w:rPr>
              <w:t xml:space="preserve"> </w:t>
            </w:r>
          </w:p>
          <w:p w14:paraId="5E2EAD4C" w14:textId="77777777" w:rsidR="001E5C78" w:rsidRDefault="001E5C78" w:rsidP="001E5C78">
            <w:pPr>
              <w:spacing w:after="0"/>
              <w:ind w:firstLine="0"/>
              <w:rPr>
                <w:rFonts w:ascii="Times New Roman" w:hAnsi="Times New Roman"/>
                <w:color w:val="000000" w:themeColor="text1"/>
                <w:sz w:val="24"/>
                <w:szCs w:val="24"/>
              </w:rPr>
            </w:pPr>
            <w:r w:rsidRPr="001E5C78">
              <w:rPr>
                <w:rFonts w:ascii="Times New Roman" w:hAnsi="Times New Roman"/>
                <w:color w:val="000000" w:themeColor="text1"/>
                <w:sz w:val="24"/>
                <w:szCs w:val="24"/>
              </w:rPr>
              <w:t xml:space="preserve">(a) 51 % până la 31 decembrie 2028; </w:t>
            </w:r>
          </w:p>
          <w:p w14:paraId="739E13E6" w14:textId="77777777" w:rsidR="001E5C78" w:rsidRDefault="001E5C78" w:rsidP="001E5C78">
            <w:pPr>
              <w:spacing w:after="0"/>
              <w:ind w:firstLine="0"/>
              <w:rPr>
                <w:rFonts w:ascii="Times New Roman" w:hAnsi="Times New Roman"/>
                <w:color w:val="000000" w:themeColor="text1"/>
                <w:sz w:val="24"/>
                <w:szCs w:val="24"/>
              </w:rPr>
            </w:pPr>
            <w:r w:rsidRPr="001E5C78">
              <w:rPr>
                <w:rFonts w:ascii="Times New Roman" w:hAnsi="Times New Roman"/>
                <w:color w:val="000000" w:themeColor="text1"/>
                <w:sz w:val="24"/>
                <w:szCs w:val="24"/>
              </w:rPr>
              <w:t>(b) 61 % până la 31 decembrie 2031</w:t>
            </w:r>
            <w:r>
              <w:rPr>
                <w:rFonts w:ascii="Times New Roman" w:hAnsi="Times New Roman"/>
                <w:color w:val="000000" w:themeColor="text1"/>
                <w:sz w:val="24"/>
                <w:szCs w:val="24"/>
              </w:rPr>
              <w:t>.</w:t>
            </w:r>
          </w:p>
          <w:p w14:paraId="2CFFC3C7" w14:textId="77777777" w:rsidR="00546005" w:rsidRDefault="00546005" w:rsidP="001E5C78">
            <w:pPr>
              <w:spacing w:after="0"/>
              <w:ind w:firstLine="0"/>
              <w:rPr>
                <w:rFonts w:ascii="Times New Roman" w:hAnsi="Times New Roman"/>
                <w:color w:val="000000" w:themeColor="text1"/>
                <w:sz w:val="24"/>
                <w:szCs w:val="24"/>
              </w:rPr>
            </w:pPr>
          </w:p>
          <w:p w14:paraId="482DBCE0" w14:textId="6AA29DDE" w:rsidR="00546005" w:rsidRPr="001E5C78" w:rsidRDefault="00546005" w:rsidP="00546005">
            <w:pPr>
              <w:spacing w:after="0"/>
              <w:ind w:firstLine="0"/>
              <w:jc w:val="center"/>
              <w:rPr>
                <w:rFonts w:ascii="Times New Roman" w:hAnsi="Times New Roman"/>
                <w:color w:val="000000" w:themeColor="text1"/>
                <w:sz w:val="24"/>
                <w:szCs w:val="24"/>
              </w:rPr>
            </w:pPr>
            <w:r w:rsidRPr="00956C67">
              <w:rPr>
                <w:rFonts w:ascii="Times New Roman" w:hAnsi="Times New Roman"/>
                <w:b/>
                <w:bCs/>
                <w:i/>
                <w:iCs/>
                <w:color w:val="000000" w:themeColor="text1"/>
                <w:sz w:val="24"/>
                <w:szCs w:val="24"/>
              </w:rPr>
              <w:t>Pentru implementarea prevederilor R.M. planifică solicitarea unei perioade de tranziții de 1</w:t>
            </w:r>
            <w:r>
              <w:rPr>
                <w:rFonts w:ascii="Times New Roman" w:hAnsi="Times New Roman"/>
                <w:b/>
                <w:bCs/>
                <w:i/>
                <w:iCs/>
                <w:color w:val="000000" w:themeColor="text1"/>
                <w:sz w:val="24"/>
                <w:szCs w:val="24"/>
              </w:rPr>
              <w:t>0</w:t>
            </w:r>
            <w:r w:rsidRPr="00956C67">
              <w:rPr>
                <w:rFonts w:ascii="Times New Roman" w:hAnsi="Times New Roman"/>
                <w:b/>
                <w:bCs/>
                <w:i/>
                <w:iCs/>
                <w:color w:val="000000" w:themeColor="text1"/>
                <w:sz w:val="24"/>
                <w:szCs w:val="24"/>
              </w:rPr>
              <w:t xml:space="preserve"> ani.</w:t>
            </w:r>
          </w:p>
        </w:tc>
      </w:tr>
      <w:tr w:rsidR="00956C67" w:rsidRPr="00956C67" w14:paraId="7CBD1975" w14:textId="77777777" w:rsidTr="00956C67">
        <w:tc>
          <w:tcPr>
            <w:tcW w:w="3397" w:type="dxa"/>
          </w:tcPr>
          <w:p w14:paraId="10DC3DED" w14:textId="5A6F401A" w:rsidR="00956C67" w:rsidRPr="0012292B" w:rsidRDefault="00546005" w:rsidP="00546005">
            <w:pPr>
              <w:pStyle w:val="ListParagraph"/>
              <w:numPr>
                <w:ilvl w:val="0"/>
                <w:numId w:val="6"/>
              </w:numPr>
              <w:spacing w:after="0"/>
              <w:rPr>
                <w:rFonts w:ascii="Times New Roman" w:hAnsi="Times New Roman"/>
                <w:b/>
                <w:bCs/>
                <w:color w:val="000000" w:themeColor="text1"/>
                <w:sz w:val="24"/>
                <w:szCs w:val="24"/>
                <w:lang w:val="ro-MD"/>
              </w:rPr>
            </w:pPr>
            <w:r w:rsidRPr="0012292B">
              <w:rPr>
                <w:rFonts w:ascii="Times New Roman" w:hAnsi="Times New Roman"/>
                <w:b/>
                <w:bCs/>
                <w:color w:val="000000" w:themeColor="text1"/>
                <w:sz w:val="24"/>
                <w:szCs w:val="24"/>
                <w:lang w:val="ro-RO"/>
              </w:rPr>
              <w:t>Directive 2012/19/EU WEEE</w:t>
            </w:r>
          </w:p>
        </w:tc>
        <w:tc>
          <w:tcPr>
            <w:tcW w:w="5999" w:type="dxa"/>
          </w:tcPr>
          <w:p w14:paraId="589EBA78" w14:textId="77777777" w:rsidR="00956C67" w:rsidRDefault="00546005" w:rsidP="00546005">
            <w:pPr>
              <w:spacing w:after="0"/>
              <w:ind w:firstLine="0"/>
              <w:rPr>
                <w:rFonts w:ascii="Times New Roman" w:hAnsi="Times New Roman"/>
                <w:color w:val="000000" w:themeColor="text1"/>
                <w:sz w:val="24"/>
                <w:szCs w:val="24"/>
              </w:rPr>
            </w:pPr>
            <w:r w:rsidRPr="00546005">
              <w:rPr>
                <w:rFonts w:ascii="Times New Roman" w:hAnsi="Times New Roman"/>
                <w:color w:val="000000" w:themeColor="text1"/>
                <w:sz w:val="24"/>
                <w:szCs w:val="24"/>
              </w:rPr>
              <w:t>Începând din 2019, rata de colectare minimă care trebuie realizată anual este de 65 % din greutatea medie a EEE introduse pe piață în cei trei ani precedenți în statul membru în cauză sau, alternativ, de 85 % din DEEE generate, raportat la greutate, pe teritoriul statului membru respectiv.</w:t>
            </w:r>
          </w:p>
          <w:p w14:paraId="15AF7EAB" w14:textId="77777777" w:rsidR="00546005" w:rsidRDefault="00546005" w:rsidP="00546005">
            <w:pPr>
              <w:spacing w:after="0"/>
              <w:ind w:firstLine="0"/>
              <w:rPr>
                <w:rFonts w:ascii="Times New Roman" w:hAnsi="Times New Roman"/>
                <w:color w:val="000000" w:themeColor="text1"/>
                <w:sz w:val="24"/>
                <w:szCs w:val="24"/>
              </w:rPr>
            </w:pPr>
          </w:p>
          <w:p w14:paraId="6C406059" w14:textId="2C0AFD82" w:rsidR="00546005" w:rsidRPr="00956C67" w:rsidRDefault="001F7598" w:rsidP="001F7598">
            <w:pPr>
              <w:spacing w:after="0"/>
              <w:ind w:firstLine="0"/>
              <w:jc w:val="center"/>
              <w:rPr>
                <w:rFonts w:ascii="Times New Roman" w:hAnsi="Times New Roman"/>
                <w:color w:val="000000" w:themeColor="text1"/>
                <w:sz w:val="24"/>
                <w:szCs w:val="24"/>
                <w:lang w:val="ro-MD"/>
              </w:rPr>
            </w:pPr>
            <w:r w:rsidRPr="00956C67">
              <w:rPr>
                <w:rFonts w:ascii="Times New Roman" w:hAnsi="Times New Roman"/>
                <w:b/>
                <w:bCs/>
                <w:i/>
                <w:iCs/>
                <w:color w:val="000000" w:themeColor="text1"/>
                <w:sz w:val="24"/>
                <w:szCs w:val="24"/>
              </w:rPr>
              <w:lastRenderedPageBreak/>
              <w:t>Pentru implementarea prevederilor R.M. planifică solicitarea unei perioade de tranziții de 1</w:t>
            </w:r>
            <w:r>
              <w:rPr>
                <w:rFonts w:ascii="Times New Roman" w:hAnsi="Times New Roman"/>
                <w:b/>
                <w:bCs/>
                <w:i/>
                <w:iCs/>
                <w:color w:val="000000" w:themeColor="text1"/>
                <w:sz w:val="24"/>
                <w:szCs w:val="24"/>
              </w:rPr>
              <w:t>0</w:t>
            </w:r>
            <w:r w:rsidRPr="00956C67">
              <w:rPr>
                <w:rFonts w:ascii="Times New Roman" w:hAnsi="Times New Roman"/>
                <w:b/>
                <w:bCs/>
                <w:i/>
                <w:iCs/>
                <w:color w:val="000000" w:themeColor="text1"/>
                <w:sz w:val="24"/>
                <w:szCs w:val="24"/>
              </w:rPr>
              <w:t xml:space="preserve"> ani.</w:t>
            </w:r>
          </w:p>
        </w:tc>
      </w:tr>
      <w:tr w:rsidR="00956C67" w:rsidRPr="00956C67" w14:paraId="66050F70" w14:textId="77777777" w:rsidTr="00956C67">
        <w:tc>
          <w:tcPr>
            <w:tcW w:w="3397" w:type="dxa"/>
          </w:tcPr>
          <w:p w14:paraId="7D86A9B1" w14:textId="2E3A016C" w:rsidR="00956C67" w:rsidRPr="00324C5F" w:rsidRDefault="00324C5F" w:rsidP="00324C5F">
            <w:pPr>
              <w:pStyle w:val="ListParagraph"/>
              <w:numPr>
                <w:ilvl w:val="0"/>
                <w:numId w:val="6"/>
              </w:numPr>
              <w:spacing w:after="0"/>
              <w:jc w:val="left"/>
              <w:rPr>
                <w:rFonts w:ascii="Times New Roman" w:hAnsi="Times New Roman"/>
                <w:b/>
                <w:bCs/>
                <w:color w:val="000000" w:themeColor="text1"/>
                <w:sz w:val="24"/>
                <w:szCs w:val="24"/>
                <w:lang w:val="ro-MD"/>
              </w:rPr>
            </w:pPr>
            <w:r w:rsidRPr="00324C5F">
              <w:rPr>
                <w:rFonts w:ascii="Times New Roman" w:hAnsi="Times New Roman"/>
                <w:b/>
                <w:bCs/>
                <w:color w:val="000000" w:themeColor="text1"/>
                <w:sz w:val="24"/>
                <w:szCs w:val="24"/>
                <w:lang w:val="pt-BR"/>
              </w:rPr>
              <w:lastRenderedPageBreak/>
              <w:t>Directiva 1999/31/CE privind depozitele de deșeuri</w:t>
            </w:r>
          </w:p>
        </w:tc>
        <w:tc>
          <w:tcPr>
            <w:tcW w:w="5999" w:type="dxa"/>
          </w:tcPr>
          <w:p w14:paraId="74703945" w14:textId="421BAC2A" w:rsidR="0012292B" w:rsidRDefault="0012292B" w:rsidP="0012292B">
            <w:pPr>
              <w:spacing w:after="0"/>
              <w:ind w:firstLine="0"/>
              <w:rPr>
                <w:rFonts w:ascii="Times New Roman" w:hAnsi="Times New Roman"/>
                <w:color w:val="000000" w:themeColor="text1"/>
                <w:sz w:val="24"/>
                <w:szCs w:val="24"/>
              </w:rPr>
            </w:pPr>
            <w:r>
              <w:rPr>
                <w:rFonts w:ascii="Times New Roman" w:hAnsi="Times New Roman"/>
                <w:color w:val="000000" w:themeColor="text1"/>
                <w:sz w:val="24"/>
                <w:szCs w:val="24"/>
              </w:rPr>
              <w:t>Art</w:t>
            </w:r>
            <w:r w:rsidR="006216FD">
              <w:rPr>
                <w:rFonts w:ascii="Times New Roman" w:hAnsi="Times New Roman"/>
                <w:color w:val="000000" w:themeColor="text1"/>
                <w:sz w:val="24"/>
                <w:szCs w:val="24"/>
              </w:rPr>
              <w:t>icolul</w:t>
            </w:r>
            <w:r>
              <w:rPr>
                <w:rFonts w:ascii="Times New Roman" w:hAnsi="Times New Roman"/>
                <w:color w:val="000000" w:themeColor="text1"/>
                <w:sz w:val="24"/>
                <w:szCs w:val="24"/>
              </w:rPr>
              <w:t xml:space="preserve"> 5</w:t>
            </w:r>
          </w:p>
          <w:p w14:paraId="74275F33" w14:textId="77777777" w:rsidR="006216FD" w:rsidRDefault="0012292B" w:rsidP="006216FD">
            <w:pPr>
              <w:spacing w:after="0"/>
              <w:ind w:firstLine="0"/>
              <w:rPr>
                <w:rFonts w:ascii="Times New Roman" w:hAnsi="Times New Roman"/>
                <w:color w:val="000000" w:themeColor="text1"/>
                <w:sz w:val="24"/>
                <w:szCs w:val="24"/>
              </w:rPr>
            </w:pPr>
            <w:r w:rsidRPr="0012292B">
              <w:rPr>
                <w:rFonts w:ascii="Times New Roman" w:hAnsi="Times New Roman"/>
                <w:color w:val="000000" w:themeColor="text1"/>
                <w:sz w:val="24"/>
                <w:szCs w:val="24"/>
              </w:rPr>
              <w:t>(2) Strategia garantează faptul că: deșeurile biodegradabile municipale destinate depozitelor de deșeuri trebuie reduse cu 75 % din totalul (în greutate) al deșeurilor biodegradabile municipale produse în anul 1995 sau în ultimul an înainte de 1995, pentru care sunt disponibile date Eurostat standardizate;</w:t>
            </w:r>
          </w:p>
          <w:p w14:paraId="25C5516D" w14:textId="77777777" w:rsidR="006216FD" w:rsidRDefault="006216FD" w:rsidP="006216FD">
            <w:pPr>
              <w:spacing w:after="0"/>
              <w:ind w:firstLine="0"/>
              <w:rPr>
                <w:rFonts w:ascii="Times New Roman" w:hAnsi="Times New Roman"/>
                <w:color w:val="000000" w:themeColor="text1"/>
                <w:sz w:val="24"/>
                <w:szCs w:val="24"/>
              </w:rPr>
            </w:pPr>
          </w:p>
          <w:p w14:paraId="32B305AD" w14:textId="77777777" w:rsidR="006216FD" w:rsidRDefault="0012292B" w:rsidP="006216FD">
            <w:pPr>
              <w:spacing w:after="0"/>
              <w:ind w:firstLine="0"/>
              <w:rPr>
                <w:rFonts w:ascii="Times New Roman" w:hAnsi="Times New Roman"/>
                <w:color w:val="000000" w:themeColor="text1"/>
                <w:sz w:val="24"/>
                <w:szCs w:val="24"/>
              </w:rPr>
            </w:pPr>
            <w:r w:rsidRPr="006216FD">
              <w:rPr>
                <w:rFonts w:ascii="Times New Roman" w:hAnsi="Times New Roman"/>
                <w:color w:val="000000" w:themeColor="text1"/>
                <w:sz w:val="24"/>
                <w:szCs w:val="24"/>
                <w:lang w:val="pt-BR"/>
              </w:rPr>
              <w:t xml:space="preserve">în termen de maximum opt ani de la data stabilită la articolul 18 alineatul (1), deșeurile biodegradabile municipale destinate depozitelor de deșeuri trebuie reduse cu 50 % din totalul (în greutate) al deșeurilor biodegradabile municipale produse în anul 1995 sau în ultimul an înainte de 1995, pentru care sunt disponibile date Eurostat standardizate; </w:t>
            </w:r>
          </w:p>
          <w:p w14:paraId="6CA1FAF6" w14:textId="77777777" w:rsidR="006216FD" w:rsidRDefault="006216FD" w:rsidP="006216FD">
            <w:pPr>
              <w:spacing w:after="0"/>
              <w:ind w:firstLine="0"/>
              <w:rPr>
                <w:rFonts w:ascii="Times New Roman" w:hAnsi="Times New Roman"/>
                <w:color w:val="000000" w:themeColor="text1"/>
                <w:sz w:val="24"/>
                <w:szCs w:val="24"/>
              </w:rPr>
            </w:pPr>
          </w:p>
          <w:p w14:paraId="3FBBC0E8" w14:textId="18ED8F5F" w:rsidR="00956C67" w:rsidRDefault="0012292B" w:rsidP="006216FD">
            <w:pPr>
              <w:spacing w:after="0"/>
              <w:ind w:firstLine="0"/>
              <w:rPr>
                <w:rFonts w:ascii="Times New Roman" w:hAnsi="Times New Roman"/>
                <w:color w:val="000000" w:themeColor="text1"/>
                <w:sz w:val="24"/>
                <w:szCs w:val="24"/>
                <w:lang w:val="pt-BR"/>
              </w:rPr>
            </w:pPr>
            <w:r w:rsidRPr="006216FD">
              <w:rPr>
                <w:rFonts w:ascii="Times New Roman" w:hAnsi="Times New Roman"/>
                <w:color w:val="000000" w:themeColor="text1"/>
                <w:sz w:val="24"/>
                <w:szCs w:val="24"/>
                <w:lang w:val="pt-BR"/>
              </w:rPr>
              <w:t>în termen de maximum 15 ani de la data stabilită la articolul 18 alineatul (1), deșeurile biodegradabile municipale destinate depozitelor de deșeuri trebuie reduse cu 35 % din totalul (în greutate) al deșeurilor biodegradabile municipale produse în anul 1995 sau în ultimul an înainte de 1995, pentru care sunt disponibile date Eurostat standardizate.</w:t>
            </w:r>
          </w:p>
          <w:p w14:paraId="494BEBAE" w14:textId="77777777" w:rsidR="006216FD" w:rsidRDefault="006216FD" w:rsidP="006216FD">
            <w:pPr>
              <w:spacing w:after="0"/>
              <w:ind w:firstLine="0"/>
              <w:rPr>
                <w:rFonts w:ascii="Times New Roman" w:hAnsi="Times New Roman"/>
                <w:color w:val="000000" w:themeColor="text1"/>
                <w:sz w:val="24"/>
                <w:szCs w:val="24"/>
                <w:lang w:val="pt-BR"/>
              </w:rPr>
            </w:pPr>
          </w:p>
          <w:p w14:paraId="2E8C741C" w14:textId="5D4F27B2" w:rsidR="006216FD" w:rsidRPr="006216FD" w:rsidRDefault="006216FD" w:rsidP="006216FD">
            <w:pPr>
              <w:spacing w:after="0"/>
              <w:ind w:firstLine="0"/>
              <w:jc w:val="center"/>
              <w:rPr>
                <w:rFonts w:ascii="Times New Roman" w:hAnsi="Times New Roman"/>
                <w:color w:val="000000" w:themeColor="text1"/>
                <w:sz w:val="24"/>
                <w:szCs w:val="24"/>
              </w:rPr>
            </w:pPr>
            <w:r w:rsidRPr="00956C67">
              <w:rPr>
                <w:rFonts w:ascii="Times New Roman" w:hAnsi="Times New Roman"/>
                <w:b/>
                <w:bCs/>
                <w:i/>
                <w:iCs/>
                <w:color w:val="000000" w:themeColor="text1"/>
                <w:sz w:val="24"/>
                <w:szCs w:val="24"/>
              </w:rPr>
              <w:t>Pentru implementarea prevederilor R.M. planifică solicitarea unei perioade de tranziții de 15 ani.</w:t>
            </w:r>
          </w:p>
          <w:p w14:paraId="3228E5CF" w14:textId="60340525" w:rsidR="006216FD" w:rsidRPr="006216FD" w:rsidRDefault="006216FD" w:rsidP="006216FD">
            <w:pPr>
              <w:spacing w:after="0"/>
              <w:ind w:firstLine="0"/>
              <w:rPr>
                <w:rFonts w:ascii="Times New Roman" w:hAnsi="Times New Roman"/>
                <w:color w:val="000000" w:themeColor="text1"/>
                <w:sz w:val="24"/>
                <w:szCs w:val="24"/>
                <w:lang w:val="ro-MD"/>
              </w:rPr>
            </w:pPr>
          </w:p>
        </w:tc>
      </w:tr>
      <w:tr w:rsidR="00956C67" w:rsidRPr="00956C67" w14:paraId="5EA9DA3F" w14:textId="77777777" w:rsidTr="00956C67">
        <w:tc>
          <w:tcPr>
            <w:tcW w:w="3397" w:type="dxa"/>
          </w:tcPr>
          <w:p w14:paraId="15B41042" w14:textId="426BDDDC" w:rsidR="006216FD" w:rsidRPr="006216FD" w:rsidRDefault="006216FD" w:rsidP="006216FD">
            <w:pPr>
              <w:pStyle w:val="ListParagraph"/>
              <w:numPr>
                <w:ilvl w:val="0"/>
                <w:numId w:val="6"/>
              </w:numPr>
              <w:spacing w:after="0"/>
              <w:rPr>
                <w:rFonts w:ascii="Times New Roman" w:hAnsi="Times New Roman"/>
                <w:b/>
                <w:bCs/>
                <w:color w:val="000000" w:themeColor="text1"/>
                <w:sz w:val="24"/>
                <w:szCs w:val="24"/>
                <w:lang w:val="ro-MD"/>
              </w:rPr>
            </w:pPr>
            <w:r w:rsidRPr="006216FD">
              <w:rPr>
                <w:rFonts w:ascii="Times New Roman" w:hAnsi="Times New Roman"/>
                <w:b/>
                <w:bCs/>
                <w:color w:val="000000" w:themeColor="text1"/>
                <w:sz w:val="24"/>
                <w:szCs w:val="24"/>
                <w:lang w:val="ro-MD"/>
              </w:rPr>
              <w:t>DIRECTIVA 2000/53/CE </w:t>
            </w:r>
          </w:p>
          <w:p w14:paraId="37E06B33" w14:textId="77777777" w:rsidR="006216FD" w:rsidRPr="006216FD" w:rsidRDefault="006216FD" w:rsidP="006216FD">
            <w:pPr>
              <w:spacing w:after="0"/>
              <w:ind w:firstLine="0"/>
              <w:rPr>
                <w:rFonts w:ascii="Times New Roman" w:eastAsiaTheme="minorEastAsia" w:hAnsi="Times New Roman"/>
                <w:b/>
                <w:bCs/>
                <w:color w:val="000000" w:themeColor="text1"/>
                <w:sz w:val="24"/>
                <w:szCs w:val="24"/>
                <w:lang w:val="ro-MD"/>
              </w:rPr>
            </w:pPr>
            <w:r w:rsidRPr="006216FD">
              <w:rPr>
                <w:rFonts w:ascii="Times New Roman" w:eastAsiaTheme="minorEastAsia" w:hAnsi="Times New Roman"/>
                <w:b/>
                <w:bCs/>
                <w:color w:val="000000" w:themeColor="text1"/>
                <w:sz w:val="24"/>
                <w:szCs w:val="24"/>
                <w:lang w:val="ro-MD"/>
              </w:rPr>
              <w:t>privind vehiculele scoase din uz</w:t>
            </w:r>
          </w:p>
          <w:p w14:paraId="6B2E2256" w14:textId="390B0A4A" w:rsidR="00956C67" w:rsidRPr="006216FD" w:rsidRDefault="00956C67" w:rsidP="006216FD">
            <w:pPr>
              <w:spacing w:after="0"/>
              <w:ind w:left="360" w:firstLine="0"/>
              <w:rPr>
                <w:rFonts w:ascii="Times New Roman" w:hAnsi="Times New Roman"/>
                <w:b/>
                <w:bCs/>
                <w:color w:val="000000" w:themeColor="text1"/>
                <w:sz w:val="24"/>
                <w:szCs w:val="24"/>
                <w:lang w:val="ro-MD"/>
              </w:rPr>
            </w:pPr>
          </w:p>
        </w:tc>
        <w:tc>
          <w:tcPr>
            <w:tcW w:w="5999" w:type="dxa"/>
          </w:tcPr>
          <w:p w14:paraId="31A18ED3" w14:textId="77777777" w:rsidR="006216FD" w:rsidRDefault="006216FD" w:rsidP="006216FD">
            <w:pPr>
              <w:spacing w:after="0"/>
              <w:ind w:firstLine="0"/>
              <w:rPr>
                <w:rFonts w:ascii="Times New Roman" w:hAnsi="Times New Roman"/>
                <w:color w:val="000000" w:themeColor="text1"/>
                <w:sz w:val="24"/>
                <w:szCs w:val="24"/>
                <w:lang w:val="ro-MD"/>
              </w:rPr>
            </w:pPr>
            <w:r>
              <w:rPr>
                <w:rFonts w:ascii="Times New Roman" w:hAnsi="Times New Roman"/>
                <w:color w:val="000000" w:themeColor="text1"/>
                <w:sz w:val="24"/>
                <w:szCs w:val="24"/>
                <w:lang w:val="ro-MD"/>
              </w:rPr>
              <w:t>Articolul 7. Refolosirea și recuperarea</w:t>
            </w:r>
          </w:p>
          <w:p w14:paraId="5F52FA99" w14:textId="77777777" w:rsidR="006216FD" w:rsidRDefault="006216FD" w:rsidP="006216FD">
            <w:pPr>
              <w:spacing w:after="0"/>
              <w:ind w:firstLine="0"/>
              <w:rPr>
                <w:rFonts w:ascii="Times New Roman" w:hAnsi="Times New Roman"/>
                <w:color w:val="000000" w:themeColor="text1"/>
                <w:sz w:val="24"/>
                <w:szCs w:val="24"/>
                <w:lang w:val="ro-MD"/>
              </w:rPr>
            </w:pPr>
          </w:p>
          <w:p w14:paraId="22A15FBB" w14:textId="5A16A415" w:rsidR="006216FD" w:rsidRPr="006216FD" w:rsidRDefault="006216FD" w:rsidP="006216FD">
            <w:pPr>
              <w:spacing w:after="0"/>
              <w:ind w:firstLine="0"/>
              <w:rPr>
                <w:rFonts w:ascii="Times New Roman" w:hAnsi="Times New Roman"/>
                <w:color w:val="000000" w:themeColor="text1"/>
                <w:sz w:val="24"/>
                <w:szCs w:val="24"/>
                <w:lang w:val="ro-MD"/>
              </w:rPr>
            </w:pPr>
            <w:r w:rsidRPr="006216FD">
              <w:rPr>
                <w:rFonts w:ascii="Times New Roman" w:hAnsi="Times New Roman"/>
                <w:color w:val="000000" w:themeColor="text1"/>
                <w:sz w:val="24"/>
                <w:szCs w:val="24"/>
                <w:lang w:val="ro-MD"/>
              </w:rPr>
              <w:t> Statele membre iau măsurile necesare pentru a se asigura că operatorii economici îndeplinesc următoarele obiective:</w:t>
            </w:r>
          </w:p>
          <w:tbl>
            <w:tblPr>
              <w:tblW w:w="5000" w:type="pct"/>
              <w:shd w:val="clear" w:color="auto" w:fill="FFFFFF"/>
              <w:tblCellMar>
                <w:left w:w="0" w:type="dxa"/>
                <w:right w:w="0" w:type="dxa"/>
              </w:tblCellMar>
              <w:tblLook w:val="04A0" w:firstRow="1" w:lastRow="0" w:firstColumn="1" w:lastColumn="0" w:noHBand="0" w:noVBand="1"/>
            </w:tblPr>
            <w:tblGrid>
              <w:gridCol w:w="267"/>
              <w:gridCol w:w="5296"/>
            </w:tblGrid>
            <w:tr w:rsidR="006216FD" w:rsidRPr="006216FD" w14:paraId="27FE6B3D" w14:textId="77777777" w:rsidTr="006216FD">
              <w:tc>
                <w:tcPr>
                  <w:tcW w:w="0" w:type="auto"/>
                  <w:shd w:val="clear" w:color="auto" w:fill="FFFFFF"/>
                  <w:hideMark/>
                </w:tcPr>
                <w:p w14:paraId="23E251B1" w14:textId="77777777" w:rsidR="006216FD" w:rsidRPr="006216FD" w:rsidRDefault="006216FD" w:rsidP="006216FD">
                  <w:pPr>
                    <w:spacing w:after="0"/>
                    <w:jc w:val="both"/>
                    <w:rPr>
                      <w:rFonts w:ascii="Times New Roman" w:hAnsi="Times New Roman"/>
                      <w:color w:val="000000" w:themeColor="text1"/>
                      <w:sz w:val="24"/>
                      <w:szCs w:val="24"/>
                      <w:lang w:val="ro-MD"/>
                    </w:rPr>
                  </w:pPr>
                  <w:r w:rsidRPr="006216FD">
                    <w:rPr>
                      <w:rFonts w:ascii="Times New Roman" w:hAnsi="Times New Roman"/>
                      <w:color w:val="000000" w:themeColor="text1"/>
                      <w:sz w:val="24"/>
                      <w:szCs w:val="24"/>
                      <w:lang w:val="ro-MD"/>
                    </w:rPr>
                    <w:t>(a)</w:t>
                  </w:r>
                </w:p>
              </w:tc>
              <w:tc>
                <w:tcPr>
                  <w:tcW w:w="0" w:type="auto"/>
                  <w:shd w:val="clear" w:color="auto" w:fill="FFFFFF"/>
                  <w:hideMark/>
                </w:tcPr>
                <w:p w14:paraId="77A991A2" w14:textId="77777777" w:rsidR="00324C5F" w:rsidRDefault="006216FD" w:rsidP="006216FD">
                  <w:pPr>
                    <w:spacing w:after="0"/>
                    <w:jc w:val="both"/>
                    <w:rPr>
                      <w:rFonts w:ascii="Times New Roman" w:hAnsi="Times New Roman"/>
                      <w:color w:val="000000" w:themeColor="text1"/>
                      <w:sz w:val="24"/>
                      <w:szCs w:val="24"/>
                      <w:lang w:val="ro-MD"/>
                    </w:rPr>
                  </w:pPr>
                  <w:r>
                    <w:rPr>
                      <w:rFonts w:ascii="Times New Roman" w:hAnsi="Times New Roman"/>
                      <w:color w:val="000000" w:themeColor="text1"/>
                      <w:sz w:val="24"/>
                      <w:szCs w:val="24"/>
                      <w:lang w:val="ro-MD"/>
                    </w:rPr>
                    <w:t xml:space="preserve"> </w:t>
                  </w:r>
                  <w:r w:rsidRPr="006216FD">
                    <w:rPr>
                      <w:rFonts w:ascii="Times New Roman" w:hAnsi="Times New Roman"/>
                      <w:strike/>
                      <w:color w:val="000000" w:themeColor="text1"/>
                      <w:sz w:val="24"/>
                      <w:szCs w:val="24"/>
                      <w:lang w:val="ro-MD"/>
                    </w:rPr>
                    <w:t>până la 1 ianuarie 2006</w:t>
                  </w:r>
                  <w:r w:rsidRPr="006216FD">
                    <w:rPr>
                      <w:rFonts w:ascii="Times New Roman" w:hAnsi="Times New Roman"/>
                      <w:color w:val="000000" w:themeColor="text1"/>
                      <w:sz w:val="24"/>
                      <w:szCs w:val="24"/>
                      <w:lang w:val="ro-MD"/>
                    </w:rPr>
                    <w:t xml:space="preserve">, refolosirea și recuperarea tuturor vehiculelor scoase din uz crește cu minimum 86 % greutate medie anuală pe vehicul. </w:t>
                  </w:r>
                </w:p>
                <w:p w14:paraId="06557E6D" w14:textId="232C5AF1" w:rsidR="006216FD" w:rsidRDefault="006216FD" w:rsidP="006216FD">
                  <w:pPr>
                    <w:spacing w:after="0"/>
                    <w:jc w:val="both"/>
                    <w:rPr>
                      <w:rFonts w:ascii="Times New Roman" w:hAnsi="Times New Roman"/>
                      <w:color w:val="000000" w:themeColor="text1"/>
                      <w:sz w:val="24"/>
                      <w:szCs w:val="24"/>
                      <w:lang w:val="ro-MD"/>
                    </w:rPr>
                  </w:pPr>
                  <w:r w:rsidRPr="006216FD">
                    <w:rPr>
                      <w:rFonts w:ascii="Times New Roman" w:hAnsi="Times New Roman"/>
                      <w:color w:val="000000" w:themeColor="text1"/>
                      <w:sz w:val="24"/>
                      <w:szCs w:val="24"/>
                      <w:lang w:val="ro-MD"/>
                    </w:rPr>
                    <w:t>În același interval de timp, refolosirea și reciclarea cresc cu minimum 80 % greutate medie anuală pe vehicul.</w:t>
                  </w:r>
                </w:p>
                <w:p w14:paraId="54844120" w14:textId="77777777" w:rsidR="00324C5F" w:rsidRDefault="006216FD" w:rsidP="006216FD">
                  <w:pPr>
                    <w:spacing w:after="0"/>
                    <w:jc w:val="both"/>
                    <w:rPr>
                      <w:rFonts w:ascii="Times New Roman" w:hAnsi="Times New Roman"/>
                      <w:color w:val="000000" w:themeColor="text1"/>
                      <w:sz w:val="24"/>
                      <w:szCs w:val="24"/>
                      <w:lang w:val="ro-MD"/>
                    </w:rPr>
                  </w:pPr>
                  <w:r w:rsidRPr="006216FD">
                    <w:rPr>
                      <w:rFonts w:ascii="Times New Roman" w:hAnsi="Times New Roman"/>
                      <w:color w:val="000000" w:themeColor="text1"/>
                      <w:sz w:val="24"/>
                      <w:szCs w:val="24"/>
                      <w:lang w:val="ro-MD"/>
                    </w:rPr>
                    <w:t xml:space="preserve">Pentru vehiculele fabricate înainte de 1 ianuarie 1980, statele membre pot stabili obiective care să nu fie mai </w:t>
                  </w:r>
                  <w:r w:rsidRPr="006216FD">
                    <w:rPr>
                      <w:rFonts w:ascii="Times New Roman" w:hAnsi="Times New Roman"/>
                      <w:color w:val="000000" w:themeColor="text1"/>
                      <w:sz w:val="24"/>
                      <w:szCs w:val="24"/>
                      <w:lang w:val="ro-MD"/>
                    </w:rPr>
                    <w:lastRenderedPageBreak/>
                    <w:t xml:space="preserve">mici de 75 % pentru refolosire și recuperare și de 70 % pentru refolosire și reciclare. </w:t>
                  </w:r>
                </w:p>
                <w:p w14:paraId="7E83F943" w14:textId="7054F55A" w:rsidR="006216FD" w:rsidRPr="006216FD" w:rsidRDefault="006216FD" w:rsidP="00324C5F">
                  <w:pPr>
                    <w:spacing w:after="0"/>
                    <w:jc w:val="both"/>
                    <w:rPr>
                      <w:rFonts w:ascii="Times New Roman" w:hAnsi="Times New Roman"/>
                      <w:color w:val="000000" w:themeColor="text1"/>
                      <w:sz w:val="24"/>
                      <w:szCs w:val="24"/>
                      <w:lang w:val="ro-MD"/>
                    </w:rPr>
                  </w:pPr>
                </w:p>
              </w:tc>
            </w:tr>
          </w:tbl>
          <w:p w14:paraId="6664CC37" w14:textId="77777777" w:rsidR="006216FD" w:rsidRPr="006216FD" w:rsidRDefault="006216FD" w:rsidP="006216FD">
            <w:pPr>
              <w:spacing w:after="0"/>
              <w:rPr>
                <w:rFonts w:ascii="Times New Roman" w:hAnsi="Times New Roman"/>
                <w:vanish/>
                <w:color w:val="000000" w:themeColor="text1"/>
                <w:sz w:val="24"/>
                <w:szCs w:val="24"/>
                <w:lang w:val="ro-MD"/>
              </w:rPr>
            </w:pPr>
          </w:p>
          <w:tbl>
            <w:tblPr>
              <w:tblW w:w="5000" w:type="pct"/>
              <w:shd w:val="clear" w:color="auto" w:fill="FFFFFF"/>
              <w:tblCellMar>
                <w:left w:w="0" w:type="dxa"/>
                <w:right w:w="0" w:type="dxa"/>
              </w:tblCellMar>
              <w:tblLook w:val="04A0" w:firstRow="1" w:lastRow="0" w:firstColumn="1" w:lastColumn="0" w:noHBand="0" w:noVBand="1"/>
            </w:tblPr>
            <w:tblGrid>
              <w:gridCol w:w="280"/>
              <w:gridCol w:w="5283"/>
            </w:tblGrid>
            <w:tr w:rsidR="006216FD" w:rsidRPr="006216FD" w14:paraId="67075F2E" w14:textId="77777777" w:rsidTr="006216FD">
              <w:tc>
                <w:tcPr>
                  <w:tcW w:w="0" w:type="auto"/>
                  <w:shd w:val="clear" w:color="auto" w:fill="FFFFFF"/>
                  <w:hideMark/>
                </w:tcPr>
                <w:p w14:paraId="43FB37A4" w14:textId="77777777" w:rsidR="006216FD" w:rsidRPr="006216FD" w:rsidRDefault="006216FD" w:rsidP="006216FD">
                  <w:pPr>
                    <w:spacing w:after="0"/>
                    <w:jc w:val="both"/>
                    <w:rPr>
                      <w:rFonts w:ascii="Times New Roman" w:hAnsi="Times New Roman"/>
                      <w:color w:val="000000" w:themeColor="text1"/>
                      <w:sz w:val="24"/>
                      <w:szCs w:val="24"/>
                      <w:lang w:val="ro-MD"/>
                    </w:rPr>
                  </w:pPr>
                  <w:r w:rsidRPr="006216FD">
                    <w:rPr>
                      <w:rFonts w:ascii="Times New Roman" w:hAnsi="Times New Roman"/>
                      <w:color w:val="000000" w:themeColor="text1"/>
                      <w:sz w:val="24"/>
                      <w:szCs w:val="24"/>
                      <w:lang w:val="ro-MD"/>
                    </w:rPr>
                    <w:t>(b)</w:t>
                  </w:r>
                </w:p>
              </w:tc>
              <w:tc>
                <w:tcPr>
                  <w:tcW w:w="0" w:type="auto"/>
                  <w:shd w:val="clear" w:color="auto" w:fill="FFFFFF"/>
                  <w:hideMark/>
                </w:tcPr>
                <w:p w14:paraId="0C9A8F43" w14:textId="77777777" w:rsidR="00324C5F" w:rsidRDefault="006216FD" w:rsidP="006216FD">
                  <w:pPr>
                    <w:spacing w:after="0"/>
                    <w:jc w:val="both"/>
                    <w:rPr>
                      <w:rFonts w:ascii="Times New Roman" w:hAnsi="Times New Roman"/>
                      <w:color w:val="000000" w:themeColor="text1"/>
                      <w:sz w:val="24"/>
                      <w:szCs w:val="24"/>
                      <w:lang w:val="ro-MD"/>
                    </w:rPr>
                  </w:pPr>
                  <w:r>
                    <w:rPr>
                      <w:rFonts w:ascii="Times New Roman" w:hAnsi="Times New Roman"/>
                      <w:color w:val="000000" w:themeColor="text1"/>
                      <w:sz w:val="24"/>
                      <w:szCs w:val="24"/>
                      <w:lang w:val="ro-MD"/>
                    </w:rPr>
                    <w:t xml:space="preserve"> </w:t>
                  </w:r>
                  <w:r w:rsidRPr="006216FD">
                    <w:rPr>
                      <w:rFonts w:ascii="Times New Roman" w:hAnsi="Times New Roman"/>
                      <w:color w:val="000000" w:themeColor="text1"/>
                      <w:sz w:val="24"/>
                      <w:szCs w:val="24"/>
                      <w:lang w:val="ro-MD"/>
                    </w:rPr>
                    <w:t xml:space="preserve">până la 1 ianuarie 2015, refolosirea și recuperarea tuturor vehiculelor scoase din uz crește la minimum 95 % greutate medie anuală pe vehicul. </w:t>
                  </w:r>
                </w:p>
                <w:p w14:paraId="5E408E27" w14:textId="77777777" w:rsidR="006216FD" w:rsidRDefault="006216FD" w:rsidP="006216FD">
                  <w:pPr>
                    <w:spacing w:after="0"/>
                    <w:jc w:val="both"/>
                    <w:rPr>
                      <w:rFonts w:ascii="Times New Roman" w:hAnsi="Times New Roman"/>
                      <w:color w:val="000000" w:themeColor="text1"/>
                      <w:sz w:val="24"/>
                      <w:szCs w:val="24"/>
                      <w:lang w:val="ro-MD"/>
                    </w:rPr>
                  </w:pPr>
                  <w:r w:rsidRPr="006216FD">
                    <w:rPr>
                      <w:rFonts w:ascii="Times New Roman" w:hAnsi="Times New Roman"/>
                      <w:color w:val="000000" w:themeColor="text1"/>
                      <w:sz w:val="24"/>
                      <w:szCs w:val="24"/>
                      <w:lang w:val="ro-MD"/>
                    </w:rPr>
                    <w:t>În același interval de timp, refolosirea și reciclarea cresc la minimum 85 % greutate medie anuală pe vehicul</w:t>
                  </w:r>
                </w:p>
                <w:p w14:paraId="5455F48D" w14:textId="77777777" w:rsidR="00324C5F" w:rsidRDefault="00324C5F" w:rsidP="006216FD">
                  <w:pPr>
                    <w:spacing w:after="0"/>
                    <w:jc w:val="both"/>
                    <w:rPr>
                      <w:rFonts w:ascii="Times New Roman" w:hAnsi="Times New Roman"/>
                      <w:color w:val="000000" w:themeColor="text1"/>
                      <w:sz w:val="24"/>
                      <w:szCs w:val="24"/>
                      <w:lang w:val="ro-MD"/>
                    </w:rPr>
                  </w:pPr>
                </w:p>
                <w:p w14:paraId="17926A5E" w14:textId="0093A55C" w:rsidR="00324C5F" w:rsidRPr="006216FD" w:rsidRDefault="00324C5F" w:rsidP="00324C5F">
                  <w:pPr>
                    <w:spacing w:after="0"/>
                    <w:jc w:val="center"/>
                    <w:rPr>
                      <w:rFonts w:ascii="Times New Roman" w:hAnsi="Times New Roman"/>
                      <w:color w:val="000000" w:themeColor="text1"/>
                      <w:sz w:val="24"/>
                      <w:szCs w:val="24"/>
                      <w:lang w:val="ro-MD"/>
                    </w:rPr>
                  </w:pPr>
                  <w:r w:rsidRPr="00956C67">
                    <w:rPr>
                      <w:rFonts w:ascii="Times New Roman" w:hAnsi="Times New Roman"/>
                      <w:b/>
                      <w:bCs/>
                      <w:i/>
                      <w:iCs/>
                      <w:color w:val="000000" w:themeColor="text1"/>
                      <w:sz w:val="24"/>
                      <w:szCs w:val="24"/>
                    </w:rPr>
                    <w:t>Pentru implementarea prevederilor R.M. planifică solicitarea unei perioade de tranziții de 1</w:t>
                  </w:r>
                  <w:r>
                    <w:rPr>
                      <w:rFonts w:ascii="Times New Roman" w:hAnsi="Times New Roman"/>
                      <w:b/>
                      <w:bCs/>
                      <w:i/>
                      <w:iCs/>
                      <w:color w:val="000000" w:themeColor="text1"/>
                      <w:sz w:val="24"/>
                      <w:szCs w:val="24"/>
                    </w:rPr>
                    <w:t>0</w:t>
                  </w:r>
                  <w:r w:rsidRPr="00956C67">
                    <w:rPr>
                      <w:rFonts w:ascii="Times New Roman" w:hAnsi="Times New Roman"/>
                      <w:b/>
                      <w:bCs/>
                      <w:i/>
                      <w:iCs/>
                      <w:color w:val="000000" w:themeColor="text1"/>
                      <w:sz w:val="24"/>
                      <w:szCs w:val="24"/>
                    </w:rPr>
                    <w:t xml:space="preserve"> ani.</w:t>
                  </w:r>
                </w:p>
              </w:tc>
            </w:tr>
          </w:tbl>
          <w:p w14:paraId="63E83799" w14:textId="77777777" w:rsidR="00956C67" w:rsidRPr="00956C67" w:rsidRDefault="00956C67" w:rsidP="00EC6D53">
            <w:pPr>
              <w:spacing w:after="0"/>
              <w:rPr>
                <w:rFonts w:ascii="Times New Roman" w:hAnsi="Times New Roman"/>
                <w:color w:val="000000" w:themeColor="text1"/>
                <w:sz w:val="24"/>
                <w:szCs w:val="24"/>
                <w:lang w:val="ro-MD"/>
              </w:rPr>
            </w:pPr>
          </w:p>
        </w:tc>
      </w:tr>
    </w:tbl>
    <w:p w14:paraId="629B8E17" w14:textId="77777777" w:rsidR="001E4BB1" w:rsidRPr="005F1A29" w:rsidRDefault="001E4BB1" w:rsidP="00EC6D53">
      <w:pPr>
        <w:spacing w:after="0"/>
        <w:ind w:firstLine="720"/>
        <w:jc w:val="both"/>
        <w:rPr>
          <w:rFonts w:ascii="Times New Roman" w:hAnsi="Times New Roman"/>
          <w:color w:val="000000" w:themeColor="text1"/>
          <w:sz w:val="28"/>
          <w:szCs w:val="28"/>
          <w:lang w:val="ro-MD"/>
        </w:rPr>
      </w:pPr>
    </w:p>
    <w:sectPr w:rsidR="001E4BB1" w:rsidRPr="005F1A2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4B2"/>
    <w:multiLevelType w:val="multilevel"/>
    <w:tmpl w:val="FC946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A35079"/>
    <w:multiLevelType w:val="multilevel"/>
    <w:tmpl w:val="0712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F11E67"/>
    <w:multiLevelType w:val="hybridMultilevel"/>
    <w:tmpl w:val="4372C2CC"/>
    <w:lvl w:ilvl="0" w:tplc="3DA66970">
      <w:start w:val="1"/>
      <w:numFmt w:val="lowerLetter"/>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3" w15:restartNumberingAfterBreak="0">
    <w:nsid w:val="5DA00193"/>
    <w:multiLevelType w:val="hybridMultilevel"/>
    <w:tmpl w:val="E6E47512"/>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63D65207"/>
    <w:multiLevelType w:val="hybridMultilevel"/>
    <w:tmpl w:val="91029F02"/>
    <w:lvl w:ilvl="0" w:tplc="C7E8949C">
      <w:start w:val="1"/>
      <w:numFmt w:val="decimal"/>
      <w:lvlText w:val="%1."/>
      <w:lvlJc w:val="left"/>
      <w:pPr>
        <w:ind w:left="720" w:hanging="360"/>
      </w:pPr>
      <w:rPr>
        <w:rFonts w:hint="default"/>
        <w:sz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77221998"/>
    <w:multiLevelType w:val="hybridMultilevel"/>
    <w:tmpl w:val="6F8A65E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7DDB040B"/>
    <w:multiLevelType w:val="multilevel"/>
    <w:tmpl w:val="839A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F8"/>
    <w:rsid w:val="000325CF"/>
    <w:rsid w:val="00043DDE"/>
    <w:rsid w:val="00105F3D"/>
    <w:rsid w:val="0012292B"/>
    <w:rsid w:val="00130EF1"/>
    <w:rsid w:val="001E4BB1"/>
    <w:rsid w:val="001E5C78"/>
    <w:rsid w:val="001F7598"/>
    <w:rsid w:val="002041E0"/>
    <w:rsid w:val="00205150"/>
    <w:rsid w:val="00324C5F"/>
    <w:rsid w:val="00393F9A"/>
    <w:rsid w:val="003A6F20"/>
    <w:rsid w:val="0048086A"/>
    <w:rsid w:val="004E6A28"/>
    <w:rsid w:val="00546005"/>
    <w:rsid w:val="005F1A29"/>
    <w:rsid w:val="006100A1"/>
    <w:rsid w:val="006216FD"/>
    <w:rsid w:val="006371EC"/>
    <w:rsid w:val="0067790C"/>
    <w:rsid w:val="006955A0"/>
    <w:rsid w:val="006B56E9"/>
    <w:rsid w:val="00705AF9"/>
    <w:rsid w:val="00730F2B"/>
    <w:rsid w:val="007B6161"/>
    <w:rsid w:val="0082305E"/>
    <w:rsid w:val="00826D99"/>
    <w:rsid w:val="00842EE3"/>
    <w:rsid w:val="00883A5B"/>
    <w:rsid w:val="008932CB"/>
    <w:rsid w:val="008977D9"/>
    <w:rsid w:val="00902110"/>
    <w:rsid w:val="00956C67"/>
    <w:rsid w:val="009842A0"/>
    <w:rsid w:val="00984FE2"/>
    <w:rsid w:val="00AE7E9F"/>
    <w:rsid w:val="00B51C23"/>
    <w:rsid w:val="00B52209"/>
    <w:rsid w:val="00C10832"/>
    <w:rsid w:val="00C91CCC"/>
    <w:rsid w:val="00D23F69"/>
    <w:rsid w:val="00D40DCF"/>
    <w:rsid w:val="00D862F8"/>
    <w:rsid w:val="00DE49A5"/>
    <w:rsid w:val="00E169FB"/>
    <w:rsid w:val="00E541FE"/>
    <w:rsid w:val="00E76165"/>
    <w:rsid w:val="00EC6D53"/>
    <w:rsid w:val="00F20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C395"/>
  <w15:chartTrackingRefBased/>
  <w15:docId w15:val="{114DFFE3-EEC9-4933-BA86-CFB31920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A29"/>
    <w:pPr>
      <w:spacing w:after="200" w:line="276" w:lineRule="auto"/>
    </w:pPr>
    <w:rPr>
      <w:rFonts w:ascii="Calibri" w:eastAsia="Times New Roman" w:hAnsi="Calibri" w:cs="Times New Roman"/>
      <w:lang w:val="ro-RO" w:eastAsia="en-US"/>
    </w:rPr>
  </w:style>
  <w:style w:type="paragraph" w:styleId="Heading1">
    <w:name w:val="heading 1"/>
    <w:basedOn w:val="Normal"/>
    <w:next w:val="Normal"/>
    <w:link w:val="Heading1Char"/>
    <w:uiPriority w:val="9"/>
    <w:qFormat/>
    <w:rsid w:val="00D862F8"/>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lang w:val="en-US" w:eastAsia="zh-CN"/>
    </w:rPr>
  </w:style>
  <w:style w:type="paragraph" w:styleId="Heading2">
    <w:name w:val="heading 2"/>
    <w:basedOn w:val="Normal"/>
    <w:next w:val="Normal"/>
    <w:link w:val="Heading2Char"/>
    <w:uiPriority w:val="9"/>
    <w:semiHidden/>
    <w:unhideWhenUsed/>
    <w:qFormat/>
    <w:rsid w:val="00D862F8"/>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lang w:val="en-US" w:eastAsia="zh-CN"/>
    </w:rPr>
  </w:style>
  <w:style w:type="paragraph" w:styleId="Heading3">
    <w:name w:val="heading 3"/>
    <w:basedOn w:val="Normal"/>
    <w:next w:val="Normal"/>
    <w:link w:val="Heading3Char"/>
    <w:uiPriority w:val="9"/>
    <w:semiHidden/>
    <w:unhideWhenUsed/>
    <w:qFormat/>
    <w:rsid w:val="00D862F8"/>
    <w:pPr>
      <w:keepNext/>
      <w:keepLines/>
      <w:spacing w:before="160" w:after="80" w:line="259" w:lineRule="auto"/>
      <w:outlineLvl w:val="2"/>
    </w:pPr>
    <w:rPr>
      <w:rFonts w:asciiTheme="minorHAnsi" w:eastAsiaTheme="majorEastAsia" w:hAnsiTheme="minorHAnsi" w:cstheme="majorBidi"/>
      <w:color w:val="2E74B5" w:themeColor="accent1" w:themeShade="BF"/>
      <w:sz w:val="28"/>
      <w:szCs w:val="28"/>
      <w:lang w:val="en-US" w:eastAsia="zh-CN"/>
    </w:rPr>
  </w:style>
  <w:style w:type="paragraph" w:styleId="Heading4">
    <w:name w:val="heading 4"/>
    <w:basedOn w:val="Normal"/>
    <w:next w:val="Normal"/>
    <w:link w:val="Heading4Char"/>
    <w:uiPriority w:val="9"/>
    <w:semiHidden/>
    <w:unhideWhenUsed/>
    <w:qFormat/>
    <w:rsid w:val="00D862F8"/>
    <w:pPr>
      <w:keepNext/>
      <w:keepLines/>
      <w:spacing w:before="80" w:after="40" w:line="259" w:lineRule="auto"/>
      <w:outlineLvl w:val="3"/>
    </w:pPr>
    <w:rPr>
      <w:rFonts w:asciiTheme="minorHAnsi" w:eastAsiaTheme="majorEastAsia" w:hAnsiTheme="minorHAnsi" w:cstheme="majorBidi"/>
      <w:i/>
      <w:iCs/>
      <w:color w:val="2E74B5" w:themeColor="accent1" w:themeShade="BF"/>
      <w:lang w:val="en-US" w:eastAsia="zh-CN"/>
    </w:rPr>
  </w:style>
  <w:style w:type="paragraph" w:styleId="Heading5">
    <w:name w:val="heading 5"/>
    <w:basedOn w:val="Normal"/>
    <w:next w:val="Normal"/>
    <w:link w:val="Heading5Char"/>
    <w:uiPriority w:val="9"/>
    <w:semiHidden/>
    <w:unhideWhenUsed/>
    <w:qFormat/>
    <w:rsid w:val="00D862F8"/>
    <w:pPr>
      <w:keepNext/>
      <w:keepLines/>
      <w:spacing w:before="80" w:after="40" w:line="259" w:lineRule="auto"/>
      <w:outlineLvl w:val="4"/>
    </w:pPr>
    <w:rPr>
      <w:rFonts w:asciiTheme="minorHAnsi" w:eastAsiaTheme="majorEastAsia" w:hAnsiTheme="minorHAnsi" w:cstheme="majorBidi"/>
      <w:color w:val="2E74B5" w:themeColor="accent1" w:themeShade="BF"/>
      <w:lang w:val="en-US" w:eastAsia="zh-CN"/>
    </w:rPr>
  </w:style>
  <w:style w:type="paragraph" w:styleId="Heading6">
    <w:name w:val="heading 6"/>
    <w:basedOn w:val="Normal"/>
    <w:next w:val="Normal"/>
    <w:link w:val="Heading6Char"/>
    <w:uiPriority w:val="9"/>
    <w:semiHidden/>
    <w:unhideWhenUsed/>
    <w:qFormat/>
    <w:rsid w:val="00D862F8"/>
    <w:pPr>
      <w:keepNext/>
      <w:keepLines/>
      <w:spacing w:before="40" w:after="0" w:line="259" w:lineRule="auto"/>
      <w:outlineLvl w:val="5"/>
    </w:pPr>
    <w:rPr>
      <w:rFonts w:asciiTheme="minorHAnsi" w:eastAsiaTheme="majorEastAsia" w:hAnsiTheme="minorHAnsi" w:cstheme="majorBidi"/>
      <w:i/>
      <w:iCs/>
      <w:color w:val="595959" w:themeColor="text1" w:themeTint="A6"/>
      <w:lang w:val="en-US" w:eastAsia="zh-CN"/>
    </w:rPr>
  </w:style>
  <w:style w:type="paragraph" w:styleId="Heading7">
    <w:name w:val="heading 7"/>
    <w:basedOn w:val="Normal"/>
    <w:next w:val="Normal"/>
    <w:link w:val="Heading7Char"/>
    <w:uiPriority w:val="9"/>
    <w:semiHidden/>
    <w:unhideWhenUsed/>
    <w:qFormat/>
    <w:rsid w:val="00D862F8"/>
    <w:pPr>
      <w:keepNext/>
      <w:keepLines/>
      <w:spacing w:before="40" w:after="0" w:line="259" w:lineRule="auto"/>
      <w:outlineLvl w:val="6"/>
    </w:pPr>
    <w:rPr>
      <w:rFonts w:asciiTheme="minorHAnsi" w:eastAsiaTheme="majorEastAsia" w:hAnsiTheme="minorHAnsi" w:cstheme="majorBidi"/>
      <w:color w:val="595959" w:themeColor="text1" w:themeTint="A6"/>
      <w:lang w:val="en-US" w:eastAsia="zh-CN"/>
    </w:rPr>
  </w:style>
  <w:style w:type="paragraph" w:styleId="Heading8">
    <w:name w:val="heading 8"/>
    <w:basedOn w:val="Normal"/>
    <w:next w:val="Normal"/>
    <w:link w:val="Heading8Char"/>
    <w:uiPriority w:val="9"/>
    <w:semiHidden/>
    <w:unhideWhenUsed/>
    <w:qFormat/>
    <w:rsid w:val="00D862F8"/>
    <w:pPr>
      <w:keepNext/>
      <w:keepLines/>
      <w:spacing w:after="0" w:line="259" w:lineRule="auto"/>
      <w:outlineLvl w:val="7"/>
    </w:pPr>
    <w:rPr>
      <w:rFonts w:asciiTheme="minorHAnsi" w:eastAsiaTheme="majorEastAsia" w:hAnsiTheme="minorHAnsi" w:cstheme="majorBidi"/>
      <w:i/>
      <w:iCs/>
      <w:color w:val="272727" w:themeColor="text1" w:themeTint="D8"/>
      <w:lang w:val="en-US" w:eastAsia="zh-CN"/>
    </w:rPr>
  </w:style>
  <w:style w:type="paragraph" w:styleId="Heading9">
    <w:name w:val="heading 9"/>
    <w:basedOn w:val="Normal"/>
    <w:next w:val="Normal"/>
    <w:link w:val="Heading9Char"/>
    <w:uiPriority w:val="9"/>
    <w:semiHidden/>
    <w:unhideWhenUsed/>
    <w:qFormat/>
    <w:rsid w:val="00D862F8"/>
    <w:pPr>
      <w:keepNext/>
      <w:keepLines/>
      <w:spacing w:after="0" w:line="259" w:lineRule="auto"/>
      <w:outlineLvl w:val="8"/>
    </w:pPr>
    <w:rPr>
      <w:rFonts w:asciiTheme="minorHAnsi" w:eastAsiaTheme="majorEastAsia" w:hAnsiTheme="minorHAnsi" w:cstheme="majorBidi"/>
      <w:color w:val="272727" w:themeColor="text1" w:themeTint="D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2F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862F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862F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862F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862F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862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2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2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2F8"/>
    <w:rPr>
      <w:rFonts w:eastAsiaTheme="majorEastAsia" w:cstheme="majorBidi"/>
      <w:color w:val="272727" w:themeColor="text1" w:themeTint="D8"/>
    </w:rPr>
  </w:style>
  <w:style w:type="paragraph" w:styleId="Title">
    <w:name w:val="Title"/>
    <w:basedOn w:val="Normal"/>
    <w:next w:val="Normal"/>
    <w:link w:val="TitleChar"/>
    <w:uiPriority w:val="10"/>
    <w:qFormat/>
    <w:rsid w:val="00D862F8"/>
    <w:pPr>
      <w:spacing w:after="80" w:line="240" w:lineRule="auto"/>
      <w:contextualSpacing/>
    </w:pPr>
    <w:rPr>
      <w:rFonts w:asciiTheme="majorHAnsi" w:eastAsiaTheme="majorEastAsia" w:hAnsiTheme="majorHAnsi" w:cstheme="majorBidi"/>
      <w:spacing w:val="-10"/>
      <w:kern w:val="28"/>
      <w:sz w:val="56"/>
      <w:szCs w:val="56"/>
      <w:lang w:val="en-US" w:eastAsia="zh-CN"/>
    </w:rPr>
  </w:style>
  <w:style w:type="character" w:customStyle="1" w:styleId="TitleChar">
    <w:name w:val="Title Char"/>
    <w:basedOn w:val="DefaultParagraphFont"/>
    <w:link w:val="Title"/>
    <w:uiPriority w:val="10"/>
    <w:rsid w:val="00D862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2F8"/>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US" w:eastAsia="zh-CN"/>
    </w:rPr>
  </w:style>
  <w:style w:type="character" w:customStyle="1" w:styleId="SubtitleChar">
    <w:name w:val="Subtitle Char"/>
    <w:basedOn w:val="DefaultParagraphFont"/>
    <w:link w:val="Subtitle"/>
    <w:uiPriority w:val="11"/>
    <w:rsid w:val="00D862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2F8"/>
    <w:pPr>
      <w:spacing w:before="160" w:after="160" w:line="259" w:lineRule="auto"/>
      <w:jc w:val="center"/>
    </w:pPr>
    <w:rPr>
      <w:rFonts w:asciiTheme="minorHAnsi" w:eastAsiaTheme="minorEastAsia" w:hAnsiTheme="minorHAnsi" w:cstheme="minorBidi"/>
      <w:i/>
      <w:iCs/>
      <w:color w:val="404040" w:themeColor="text1" w:themeTint="BF"/>
      <w:lang w:val="en-US" w:eastAsia="zh-CN"/>
    </w:rPr>
  </w:style>
  <w:style w:type="character" w:customStyle="1" w:styleId="QuoteChar">
    <w:name w:val="Quote Char"/>
    <w:basedOn w:val="DefaultParagraphFont"/>
    <w:link w:val="Quote"/>
    <w:uiPriority w:val="29"/>
    <w:rsid w:val="00D862F8"/>
    <w:rPr>
      <w:i/>
      <w:iCs/>
      <w:color w:val="404040" w:themeColor="text1" w:themeTint="BF"/>
    </w:rPr>
  </w:style>
  <w:style w:type="paragraph" w:styleId="ListParagraph">
    <w:name w:val="List Paragraph"/>
    <w:basedOn w:val="Normal"/>
    <w:uiPriority w:val="34"/>
    <w:qFormat/>
    <w:rsid w:val="00D862F8"/>
    <w:pPr>
      <w:spacing w:after="160" w:line="259" w:lineRule="auto"/>
      <w:ind w:left="720"/>
      <w:contextualSpacing/>
    </w:pPr>
    <w:rPr>
      <w:rFonts w:asciiTheme="minorHAnsi" w:eastAsiaTheme="minorEastAsia" w:hAnsiTheme="minorHAnsi" w:cstheme="minorBidi"/>
      <w:lang w:val="en-US" w:eastAsia="zh-CN"/>
    </w:rPr>
  </w:style>
  <w:style w:type="character" w:styleId="IntenseEmphasis">
    <w:name w:val="Intense Emphasis"/>
    <w:basedOn w:val="DefaultParagraphFont"/>
    <w:uiPriority w:val="21"/>
    <w:qFormat/>
    <w:rsid w:val="00D862F8"/>
    <w:rPr>
      <w:i/>
      <w:iCs/>
      <w:color w:val="2E74B5" w:themeColor="accent1" w:themeShade="BF"/>
    </w:rPr>
  </w:style>
  <w:style w:type="paragraph" w:styleId="IntenseQuote">
    <w:name w:val="Intense Quote"/>
    <w:basedOn w:val="Normal"/>
    <w:next w:val="Normal"/>
    <w:link w:val="IntenseQuoteChar"/>
    <w:uiPriority w:val="30"/>
    <w:qFormat/>
    <w:rsid w:val="00D862F8"/>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EastAsia" w:hAnsiTheme="minorHAnsi" w:cstheme="minorBidi"/>
      <w:i/>
      <w:iCs/>
      <w:color w:val="2E74B5" w:themeColor="accent1" w:themeShade="BF"/>
      <w:lang w:val="en-US" w:eastAsia="zh-CN"/>
    </w:rPr>
  </w:style>
  <w:style w:type="character" w:customStyle="1" w:styleId="IntenseQuoteChar">
    <w:name w:val="Intense Quote Char"/>
    <w:basedOn w:val="DefaultParagraphFont"/>
    <w:link w:val="IntenseQuote"/>
    <w:uiPriority w:val="30"/>
    <w:rsid w:val="00D862F8"/>
    <w:rPr>
      <w:i/>
      <w:iCs/>
      <w:color w:val="2E74B5" w:themeColor="accent1" w:themeShade="BF"/>
    </w:rPr>
  </w:style>
  <w:style w:type="character" w:styleId="IntenseReference">
    <w:name w:val="Intense Reference"/>
    <w:basedOn w:val="DefaultParagraphFont"/>
    <w:uiPriority w:val="32"/>
    <w:qFormat/>
    <w:rsid w:val="00D862F8"/>
    <w:rPr>
      <w:b/>
      <w:bCs/>
      <w:smallCaps/>
      <w:color w:val="2E74B5" w:themeColor="accent1" w:themeShade="BF"/>
      <w:spacing w:val="5"/>
    </w:rPr>
  </w:style>
  <w:style w:type="character" w:styleId="Hyperlink">
    <w:name w:val="Hyperlink"/>
    <w:basedOn w:val="DefaultParagraphFont"/>
    <w:rsid w:val="000325CF"/>
    <w:rPr>
      <w:color w:val="0000FF"/>
      <w:u w:val="single"/>
    </w:rPr>
  </w:style>
  <w:style w:type="table" w:styleId="TableGrid">
    <w:name w:val="Table Grid"/>
    <w:basedOn w:val="TableNormal"/>
    <w:uiPriority w:val="39"/>
    <w:rsid w:val="005F1A29"/>
    <w:pPr>
      <w:spacing w:after="0" w:line="240" w:lineRule="auto"/>
      <w:ind w:firstLine="709"/>
      <w:jc w:val="both"/>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0163">
      <w:bodyDiv w:val="1"/>
      <w:marLeft w:val="0"/>
      <w:marRight w:val="0"/>
      <w:marTop w:val="0"/>
      <w:marBottom w:val="0"/>
      <w:divBdr>
        <w:top w:val="none" w:sz="0" w:space="0" w:color="auto"/>
        <w:left w:val="none" w:sz="0" w:space="0" w:color="auto"/>
        <w:bottom w:val="none" w:sz="0" w:space="0" w:color="auto"/>
        <w:right w:val="none" w:sz="0" w:space="0" w:color="auto"/>
      </w:divBdr>
    </w:div>
    <w:div w:id="83772057">
      <w:bodyDiv w:val="1"/>
      <w:marLeft w:val="0"/>
      <w:marRight w:val="0"/>
      <w:marTop w:val="0"/>
      <w:marBottom w:val="0"/>
      <w:divBdr>
        <w:top w:val="none" w:sz="0" w:space="0" w:color="auto"/>
        <w:left w:val="none" w:sz="0" w:space="0" w:color="auto"/>
        <w:bottom w:val="none" w:sz="0" w:space="0" w:color="auto"/>
        <w:right w:val="none" w:sz="0" w:space="0" w:color="auto"/>
      </w:divBdr>
    </w:div>
    <w:div w:id="146408559">
      <w:bodyDiv w:val="1"/>
      <w:marLeft w:val="0"/>
      <w:marRight w:val="0"/>
      <w:marTop w:val="0"/>
      <w:marBottom w:val="0"/>
      <w:divBdr>
        <w:top w:val="none" w:sz="0" w:space="0" w:color="auto"/>
        <w:left w:val="none" w:sz="0" w:space="0" w:color="auto"/>
        <w:bottom w:val="none" w:sz="0" w:space="0" w:color="auto"/>
        <w:right w:val="none" w:sz="0" w:space="0" w:color="auto"/>
      </w:divBdr>
    </w:div>
    <w:div w:id="181018534">
      <w:bodyDiv w:val="1"/>
      <w:marLeft w:val="0"/>
      <w:marRight w:val="0"/>
      <w:marTop w:val="0"/>
      <w:marBottom w:val="0"/>
      <w:divBdr>
        <w:top w:val="none" w:sz="0" w:space="0" w:color="auto"/>
        <w:left w:val="none" w:sz="0" w:space="0" w:color="auto"/>
        <w:bottom w:val="none" w:sz="0" w:space="0" w:color="auto"/>
        <w:right w:val="none" w:sz="0" w:space="0" w:color="auto"/>
      </w:divBdr>
    </w:div>
    <w:div w:id="427390380">
      <w:bodyDiv w:val="1"/>
      <w:marLeft w:val="0"/>
      <w:marRight w:val="0"/>
      <w:marTop w:val="0"/>
      <w:marBottom w:val="0"/>
      <w:divBdr>
        <w:top w:val="none" w:sz="0" w:space="0" w:color="auto"/>
        <w:left w:val="none" w:sz="0" w:space="0" w:color="auto"/>
        <w:bottom w:val="none" w:sz="0" w:space="0" w:color="auto"/>
        <w:right w:val="none" w:sz="0" w:space="0" w:color="auto"/>
      </w:divBdr>
    </w:div>
    <w:div w:id="578558576">
      <w:bodyDiv w:val="1"/>
      <w:marLeft w:val="0"/>
      <w:marRight w:val="0"/>
      <w:marTop w:val="0"/>
      <w:marBottom w:val="0"/>
      <w:divBdr>
        <w:top w:val="none" w:sz="0" w:space="0" w:color="auto"/>
        <w:left w:val="none" w:sz="0" w:space="0" w:color="auto"/>
        <w:bottom w:val="none" w:sz="0" w:space="0" w:color="auto"/>
        <w:right w:val="none" w:sz="0" w:space="0" w:color="auto"/>
      </w:divBdr>
      <w:divsChild>
        <w:div w:id="1641349194">
          <w:marLeft w:val="0"/>
          <w:marRight w:val="0"/>
          <w:marTop w:val="0"/>
          <w:marBottom w:val="0"/>
          <w:divBdr>
            <w:top w:val="none" w:sz="0" w:space="0" w:color="auto"/>
            <w:left w:val="none" w:sz="0" w:space="0" w:color="auto"/>
            <w:bottom w:val="none" w:sz="0" w:space="0" w:color="auto"/>
            <w:right w:val="none" w:sz="0" w:space="0" w:color="auto"/>
          </w:divBdr>
        </w:div>
      </w:divsChild>
    </w:div>
    <w:div w:id="754791412">
      <w:bodyDiv w:val="1"/>
      <w:marLeft w:val="0"/>
      <w:marRight w:val="0"/>
      <w:marTop w:val="0"/>
      <w:marBottom w:val="0"/>
      <w:divBdr>
        <w:top w:val="none" w:sz="0" w:space="0" w:color="auto"/>
        <w:left w:val="none" w:sz="0" w:space="0" w:color="auto"/>
        <w:bottom w:val="none" w:sz="0" w:space="0" w:color="auto"/>
        <w:right w:val="none" w:sz="0" w:space="0" w:color="auto"/>
      </w:divBdr>
    </w:div>
    <w:div w:id="1345984569">
      <w:bodyDiv w:val="1"/>
      <w:marLeft w:val="0"/>
      <w:marRight w:val="0"/>
      <w:marTop w:val="0"/>
      <w:marBottom w:val="0"/>
      <w:divBdr>
        <w:top w:val="none" w:sz="0" w:space="0" w:color="auto"/>
        <w:left w:val="none" w:sz="0" w:space="0" w:color="auto"/>
        <w:bottom w:val="none" w:sz="0" w:space="0" w:color="auto"/>
        <w:right w:val="none" w:sz="0" w:space="0" w:color="auto"/>
      </w:divBdr>
      <w:divsChild>
        <w:div w:id="775906463">
          <w:marLeft w:val="0"/>
          <w:marRight w:val="0"/>
          <w:marTop w:val="0"/>
          <w:marBottom w:val="0"/>
          <w:divBdr>
            <w:top w:val="none" w:sz="0" w:space="0" w:color="auto"/>
            <w:left w:val="none" w:sz="0" w:space="0" w:color="auto"/>
            <w:bottom w:val="none" w:sz="0" w:space="0" w:color="auto"/>
            <w:right w:val="none" w:sz="0" w:space="0" w:color="auto"/>
          </w:divBdr>
        </w:div>
      </w:divsChild>
    </w:div>
    <w:div w:id="1459715358">
      <w:bodyDiv w:val="1"/>
      <w:marLeft w:val="0"/>
      <w:marRight w:val="0"/>
      <w:marTop w:val="0"/>
      <w:marBottom w:val="0"/>
      <w:divBdr>
        <w:top w:val="none" w:sz="0" w:space="0" w:color="auto"/>
        <w:left w:val="none" w:sz="0" w:space="0" w:color="auto"/>
        <w:bottom w:val="none" w:sz="0" w:space="0" w:color="auto"/>
        <w:right w:val="none" w:sz="0" w:space="0" w:color="auto"/>
      </w:divBdr>
    </w:div>
    <w:div w:id="1473399656">
      <w:bodyDiv w:val="1"/>
      <w:marLeft w:val="0"/>
      <w:marRight w:val="0"/>
      <w:marTop w:val="0"/>
      <w:marBottom w:val="0"/>
      <w:divBdr>
        <w:top w:val="none" w:sz="0" w:space="0" w:color="auto"/>
        <w:left w:val="none" w:sz="0" w:space="0" w:color="auto"/>
        <w:bottom w:val="none" w:sz="0" w:space="0" w:color="auto"/>
        <w:right w:val="none" w:sz="0" w:space="0" w:color="auto"/>
      </w:divBdr>
    </w:div>
    <w:div w:id="1585265489">
      <w:bodyDiv w:val="1"/>
      <w:marLeft w:val="0"/>
      <w:marRight w:val="0"/>
      <w:marTop w:val="0"/>
      <w:marBottom w:val="0"/>
      <w:divBdr>
        <w:top w:val="none" w:sz="0" w:space="0" w:color="auto"/>
        <w:left w:val="none" w:sz="0" w:space="0" w:color="auto"/>
        <w:bottom w:val="none" w:sz="0" w:space="0" w:color="auto"/>
        <w:right w:val="none" w:sz="0" w:space="0" w:color="auto"/>
      </w:divBdr>
    </w:div>
    <w:div w:id="1775399723">
      <w:bodyDiv w:val="1"/>
      <w:marLeft w:val="0"/>
      <w:marRight w:val="0"/>
      <w:marTop w:val="0"/>
      <w:marBottom w:val="0"/>
      <w:divBdr>
        <w:top w:val="none" w:sz="0" w:space="0" w:color="auto"/>
        <w:left w:val="none" w:sz="0" w:space="0" w:color="auto"/>
        <w:bottom w:val="none" w:sz="0" w:space="0" w:color="auto"/>
        <w:right w:val="none" w:sz="0" w:space="0" w:color="auto"/>
      </w:divBdr>
    </w:div>
    <w:div w:id="1837263471">
      <w:bodyDiv w:val="1"/>
      <w:marLeft w:val="0"/>
      <w:marRight w:val="0"/>
      <w:marTop w:val="0"/>
      <w:marBottom w:val="0"/>
      <w:divBdr>
        <w:top w:val="none" w:sz="0" w:space="0" w:color="auto"/>
        <w:left w:val="none" w:sz="0" w:space="0" w:color="auto"/>
        <w:bottom w:val="none" w:sz="0" w:space="0" w:color="auto"/>
        <w:right w:val="none" w:sz="0" w:space="0" w:color="auto"/>
      </w:divBdr>
    </w:div>
    <w:div w:id="1889801917">
      <w:bodyDiv w:val="1"/>
      <w:marLeft w:val="0"/>
      <w:marRight w:val="0"/>
      <w:marTop w:val="0"/>
      <w:marBottom w:val="0"/>
      <w:divBdr>
        <w:top w:val="none" w:sz="0" w:space="0" w:color="auto"/>
        <w:left w:val="none" w:sz="0" w:space="0" w:color="auto"/>
        <w:bottom w:val="none" w:sz="0" w:space="0" w:color="auto"/>
        <w:right w:val="none" w:sz="0" w:space="0" w:color="auto"/>
      </w:divBdr>
    </w:div>
    <w:div w:id="1944529105">
      <w:bodyDiv w:val="1"/>
      <w:marLeft w:val="0"/>
      <w:marRight w:val="0"/>
      <w:marTop w:val="0"/>
      <w:marBottom w:val="0"/>
      <w:divBdr>
        <w:top w:val="none" w:sz="0" w:space="0" w:color="auto"/>
        <w:left w:val="none" w:sz="0" w:space="0" w:color="auto"/>
        <w:bottom w:val="none" w:sz="0" w:space="0" w:color="auto"/>
        <w:right w:val="none" w:sz="0" w:space="0" w:color="auto"/>
      </w:divBdr>
    </w:div>
    <w:div w:id="2014214546">
      <w:bodyDiv w:val="1"/>
      <w:marLeft w:val="0"/>
      <w:marRight w:val="0"/>
      <w:marTop w:val="0"/>
      <w:marBottom w:val="0"/>
      <w:divBdr>
        <w:top w:val="none" w:sz="0" w:space="0" w:color="auto"/>
        <w:left w:val="none" w:sz="0" w:space="0" w:color="auto"/>
        <w:bottom w:val="none" w:sz="0" w:space="0" w:color="auto"/>
        <w:right w:val="none" w:sz="0" w:space="0" w:color="auto"/>
      </w:divBdr>
    </w:div>
    <w:div w:id="209400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6743</Characters>
  <Application>Microsoft Office Word</Application>
  <DocSecurity>0</DocSecurity>
  <Lines>56</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Direcția politici de gestionare a deșeurilor și a siturilor</dc:creator>
  <cp:keywords/>
  <dc:description/>
  <cp:lastModifiedBy>igor cristal</cp:lastModifiedBy>
  <cp:revision>2</cp:revision>
  <dcterms:created xsi:type="dcterms:W3CDTF">2025-07-16T17:03:00Z</dcterms:created>
  <dcterms:modified xsi:type="dcterms:W3CDTF">2025-07-16T17:03:00Z</dcterms:modified>
</cp:coreProperties>
</file>