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5363" w14:textId="77777777" w:rsidR="00D91B9B" w:rsidRPr="00DD57E3" w:rsidRDefault="00D91B9B" w:rsidP="00D91B9B">
      <w:pPr>
        <w:tabs>
          <w:tab w:val="left" w:pos="3261"/>
          <w:tab w:val="left" w:pos="3828"/>
        </w:tabs>
        <w:spacing w:after="0" w:line="240" w:lineRule="auto"/>
        <w:jc w:val="center"/>
        <w:rPr>
          <w:rFonts w:ascii="Times New Roman" w:eastAsia="Times New Roman" w:hAnsi="Times New Roman" w:cs="Times New Roman"/>
          <w:b/>
          <w:bCs/>
          <w:sz w:val="24"/>
          <w:szCs w:val="24"/>
          <w:lang w:val="ro-MD" w:eastAsia="ro-RO"/>
        </w:rPr>
      </w:pPr>
      <w:r w:rsidRPr="00DD57E3">
        <w:rPr>
          <w:rFonts w:ascii="Times New Roman" w:eastAsia="Times New Roman" w:hAnsi="Times New Roman" w:cs="Times New Roman"/>
          <w:b/>
          <w:bCs/>
          <w:sz w:val="24"/>
          <w:szCs w:val="24"/>
          <w:lang w:val="ro-MD" w:eastAsia="ro-RO"/>
        </w:rPr>
        <w:t>NOTĂ DE FUNDAMENTARE</w:t>
      </w:r>
    </w:p>
    <w:p w14:paraId="05352741" w14:textId="083D770A" w:rsidR="009A6280" w:rsidRPr="00DD57E3" w:rsidRDefault="00D91B9B" w:rsidP="009A6280">
      <w:pPr>
        <w:spacing w:after="0"/>
        <w:jc w:val="center"/>
        <w:rPr>
          <w:rFonts w:ascii="Times New Roman" w:eastAsia="Times New Roman" w:hAnsi="Times New Roman" w:cs="Times New Roman"/>
          <w:b/>
          <w:bCs/>
          <w:sz w:val="24"/>
          <w:szCs w:val="24"/>
          <w:lang w:val="ro-MD" w:eastAsia="ro-RO"/>
        </w:rPr>
      </w:pPr>
      <w:r w:rsidRPr="00DD57E3">
        <w:rPr>
          <w:rFonts w:ascii="Times New Roman" w:eastAsia="Times New Roman" w:hAnsi="Times New Roman" w:cs="Times New Roman"/>
          <w:b/>
          <w:bCs/>
          <w:sz w:val="24"/>
          <w:szCs w:val="24"/>
          <w:lang w:val="ro-MD" w:eastAsia="ro-RO"/>
        </w:rPr>
        <w:t>la proiectul de lege privind promovarea vehiculelor de transport rutier nepoluante</w:t>
      </w:r>
      <w:r w:rsidR="009A6280" w:rsidRPr="00DD57E3">
        <w:rPr>
          <w:rFonts w:ascii="Times New Roman" w:eastAsia="Times New Roman" w:hAnsi="Times New Roman" w:cs="Times New Roman"/>
          <w:b/>
          <w:bCs/>
          <w:sz w:val="24"/>
          <w:szCs w:val="24"/>
          <w:lang w:val="ro-MD" w:eastAsia="ro-RO"/>
        </w:rPr>
        <w:t xml:space="preserve">, </w:t>
      </w:r>
    </w:p>
    <w:p w14:paraId="03ABE4EA" w14:textId="7C5882BD" w:rsidR="009A6280" w:rsidRPr="00DD57E3" w:rsidRDefault="009A6280" w:rsidP="009A6280">
      <w:pPr>
        <w:spacing w:after="0"/>
        <w:jc w:val="center"/>
        <w:rPr>
          <w:rFonts w:ascii="Times New Roman" w:eastAsia="Times New Roman" w:hAnsi="Times New Roman" w:cs="Times New Roman"/>
          <w:b/>
          <w:bCs/>
          <w:sz w:val="24"/>
          <w:szCs w:val="24"/>
          <w:lang w:val="ro-MD" w:eastAsia="ro-RO"/>
        </w:rPr>
      </w:pPr>
      <w:r w:rsidRPr="00DD57E3">
        <w:rPr>
          <w:rFonts w:ascii="Times New Roman" w:eastAsia="Times New Roman" w:hAnsi="Times New Roman" w:cs="Times New Roman"/>
          <w:b/>
          <w:bCs/>
          <w:sz w:val="24"/>
          <w:szCs w:val="28"/>
          <w:lang w:val="ro-MD" w:eastAsia="ru-RU"/>
        </w:rPr>
        <w:t>în sprijinul unei mobilită</w:t>
      </w:r>
      <w:r w:rsidR="00D84F0C" w:rsidRPr="00DD57E3">
        <w:rPr>
          <w:rFonts w:ascii="Times New Roman" w:eastAsia="Times New Roman" w:hAnsi="Times New Roman" w:cs="Times New Roman"/>
          <w:b/>
          <w:bCs/>
          <w:sz w:val="24"/>
          <w:szCs w:val="28"/>
          <w:lang w:val="ro-MD" w:eastAsia="ru-RU"/>
        </w:rPr>
        <w:t>ț</w:t>
      </w:r>
      <w:r w:rsidRPr="00DD57E3">
        <w:rPr>
          <w:rFonts w:ascii="Times New Roman" w:eastAsia="Times New Roman" w:hAnsi="Times New Roman" w:cs="Times New Roman"/>
          <w:b/>
          <w:bCs/>
          <w:sz w:val="24"/>
          <w:szCs w:val="28"/>
          <w:lang w:val="ro-MD" w:eastAsia="ru-RU"/>
        </w:rPr>
        <w:t>i cu emisii scăzute</w:t>
      </w:r>
    </w:p>
    <w:p w14:paraId="2118B2D7" w14:textId="1648F711" w:rsidR="00D91B9B" w:rsidRPr="00DD57E3" w:rsidRDefault="00D91B9B" w:rsidP="009A6280">
      <w:pPr>
        <w:tabs>
          <w:tab w:val="left" w:pos="3261"/>
          <w:tab w:val="left" w:pos="3828"/>
        </w:tabs>
        <w:spacing w:after="0" w:line="240" w:lineRule="auto"/>
        <w:jc w:val="center"/>
        <w:rPr>
          <w:rFonts w:ascii="Times New Roman" w:eastAsia="Times New Roman" w:hAnsi="Times New Roman" w:cs="Times New Roman"/>
          <w:b/>
          <w:bCs/>
          <w:sz w:val="24"/>
          <w:szCs w:val="24"/>
          <w:lang w:val="ro-MD" w:eastAsia="ro-RO"/>
        </w:rPr>
      </w:pPr>
    </w:p>
    <w:p w14:paraId="4B91AC95" w14:textId="77777777" w:rsidR="00D91B9B" w:rsidRPr="00DD57E3" w:rsidRDefault="00D91B9B" w:rsidP="00D91B9B">
      <w:pPr>
        <w:tabs>
          <w:tab w:val="left" w:pos="3261"/>
          <w:tab w:val="left" w:pos="3828"/>
        </w:tabs>
        <w:spacing w:after="0" w:line="240" w:lineRule="auto"/>
        <w:jc w:val="both"/>
        <w:rPr>
          <w:rFonts w:ascii="Times New Roman" w:eastAsia="Times New Roman" w:hAnsi="Times New Roman" w:cs="Times New Roman"/>
          <w:b/>
          <w:bCs/>
          <w:sz w:val="24"/>
          <w:szCs w:val="24"/>
          <w:lang w:val="ro-MD" w:eastAsia="ro-RO"/>
        </w:rPr>
      </w:pPr>
    </w:p>
    <w:tbl>
      <w:tblPr>
        <w:tblW w:w="550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2"/>
      </w:tblGrid>
      <w:tr w:rsidR="00D91B9B" w:rsidRPr="00DD57E3" w14:paraId="682DFC4B" w14:textId="77777777" w:rsidTr="033CF18F">
        <w:trPr>
          <w:trHeight w:val="221"/>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E96BF19" w14:textId="146FD99E" w:rsidR="00D91B9B" w:rsidRPr="00DD57E3" w:rsidRDefault="00D91B9B" w:rsidP="00D91B9B">
            <w:pPr>
              <w:pStyle w:val="a4"/>
              <w:numPr>
                <w:ilvl w:val="0"/>
                <w:numId w:val="2"/>
              </w:numPr>
              <w:tabs>
                <w:tab w:val="left" w:pos="884"/>
                <w:tab w:val="left" w:pos="1196"/>
              </w:tabs>
              <w:suppressAutoHyphens/>
              <w:spacing w:after="0" w:line="240" w:lineRule="auto"/>
              <w:jc w:val="both"/>
              <w:rPr>
                <w:rFonts w:eastAsiaTheme="minorEastAsia" w:cs="Times New Roman"/>
                <w:b/>
                <w:szCs w:val="24"/>
                <w:lang w:val="ro-MD" w:eastAsia="ar-SA"/>
              </w:rPr>
            </w:pPr>
            <w:bookmarkStart w:id="0" w:name="_Hlk191386029"/>
            <w:r w:rsidRPr="00DD57E3">
              <w:rPr>
                <w:rFonts w:eastAsiaTheme="minorEastAsia" w:cs="Times New Roman"/>
                <w:b/>
                <w:szCs w:val="24"/>
                <w:lang w:val="ro-MD" w:eastAsia="ar-SA"/>
              </w:rPr>
              <w:t xml:space="preserve">Denumirea autorului responsabil de elaborarea proiectului </w:t>
            </w:r>
            <w:r w:rsidR="00D84F0C" w:rsidRPr="00DD57E3">
              <w:rPr>
                <w:rFonts w:eastAsiaTheme="minorEastAsia" w:cs="Times New Roman"/>
                <w:b/>
                <w:szCs w:val="24"/>
                <w:lang w:val="ro-MD" w:eastAsia="ar-SA"/>
              </w:rPr>
              <w:t>ș</w:t>
            </w:r>
            <w:r w:rsidRPr="00DD57E3">
              <w:rPr>
                <w:rFonts w:eastAsiaTheme="minorEastAsia" w:cs="Times New Roman"/>
                <w:b/>
                <w:szCs w:val="24"/>
                <w:lang w:val="ro-MD" w:eastAsia="ar-SA"/>
              </w:rPr>
              <w:t>i, după caz, a/al participan</w:t>
            </w:r>
            <w:r w:rsidR="00D84F0C" w:rsidRPr="00DD57E3">
              <w:rPr>
                <w:rFonts w:eastAsiaTheme="minorEastAsia" w:cs="Times New Roman"/>
                <w:b/>
                <w:szCs w:val="24"/>
                <w:lang w:val="ro-MD" w:eastAsia="ar-SA"/>
              </w:rPr>
              <w:t>ț</w:t>
            </w:r>
            <w:r w:rsidRPr="00DD57E3">
              <w:rPr>
                <w:rFonts w:eastAsiaTheme="minorEastAsia" w:cs="Times New Roman"/>
                <w:b/>
                <w:szCs w:val="24"/>
                <w:lang w:val="ro-MD" w:eastAsia="ar-SA"/>
              </w:rPr>
              <w:t>ilor la elaborarea proiectului actului normativ</w:t>
            </w:r>
            <w:bookmarkEnd w:id="0"/>
          </w:p>
        </w:tc>
      </w:tr>
      <w:tr w:rsidR="00D91B9B" w:rsidRPr="00DD57E3" w14:paraId="4D60A6A0" w14:textId="77777777" w:rsidTr="033CF18F">
        <w:trPr>
          <w:trHeight w:val="325"/>
        </w:trPr>
        <w:tc>
          <w:tcPr>
            <w:tcW w:w="5000" w:type="pct"/>
            <w:tcBorders>
              <w:top w:val="single" w:sz="4" w:space="0" w:color="auto"/>
              <w:left w:val="single" w:sz="4" w:space="0" w:color="auto"/>
              <w:bottom w:val="single" w:sz="4" w:space="0" w:color="auto"/>
              <w:right w:val="single" w:sz="4" w:space="0" w:color="auto"/>
            </w:tcBorders>
            <w:hideMark/>
          </w:tcPr>
          <w:p w14:paraId="4734BDC2" w14:textId="25E182EE" w:rsidR="00D91B9B" w:rsidRPr="00DD57E3" w:rsidRDefault="00D91B9B" w:rsidP="00011913">
            <w:pPr>
              <w:tabs>
                <w:tab w:val="left" w:pos="884"/>
                <w:tab w:val="left" w:pos="1196"/>
              </w:tabs>
              <w:suppressAutoHyphens/>
              <w:spacing w:before="60" w:after="120" w:line="240" w:lineRule="auto"/>
              <w:jc w:val="both"/>
              <w:rPr>
                <w:rFonts w:ascii="Times New Roman" w:eastAsiaTheme="minorEastAsia" w:hAnsi="Times New Roman" w:cs="Times New Roman"/>
                <w:b/>
                <w:bCs/>
                <w:sz w:val="24"/>
                <w:szCs w:val="24"/>
                <w:lang w:val="ro-MD" w:eastAsia="ar-SA"/>
              </w:rPr>
            </w:pPr>
            <w:r w:rsidRPr="00DD57E3">
              <w:rPr>
                <w:rFonts w:ascii="Times New Roman" w:eastAsiaTheme="minorEastAsia" w:hAnsi="Times New Roman" w:cs="Times New Roman"/>
                <w:sz w:val="24"/>
                <w:szCs w:val="24"/>
                <w:lang w:val="ro-MD" w:eastAsia="ar-SA"/>
              </w:rPr>
              <w:t xml:space="preserve">Proiectul </w:t>
            </w:r>
            <w:r w:rsidRPr="00DD57E3">
              <w:rPr>
                <w:rFonts w:ascii="Times New Roman" w:eastAsiaTheme="minorEastAsia" w:hAnsi="Times New Roman" w:cs="Times New Roman"/>
                <w:bCs/>
                <w:sz w:val="24"/>
                <w:szCs w:val="24"/>
                <w:lang w:val="ro-MD" w:eastAsia="ar-SA"/>
              </w:rPr>
              <w:t>de lege privind promovarea vehiculelor de transport rutier nepoluante</w:t>
            </w:r>
            <w:r w:rsidR="009740D3" w:rsidRPr="00DD57E3">
              <w:rPr>
                <w:rFonts w:ascii="Times New Roman" w:eastAsiaTheme="minorEastAsia" w:hAnsi="Times New Roman" w:cs="Times New Roman"/>
                <w:bCs/>
                <w:sz w:val="24"/>
                <w:szCs w:val="24"/>
                <w:lang w:val="ro-MD" w:eastAsia="ar-SA"/>
              </w:rPr>
              <w:t>, în sprijinul unei mobilită</w:t>
            </w:r>
            <w:r w:rsidR="00D84F0C" w:rsidRPr="00DD57E3">
              <w:rPr>
                <w:rFonts w:ascii="Times New Roman" w:eastAsiaTheme="minorEastAsia" w:hAnsi="Times New Roman" w:cs="Times New Roman"/>
                <w:bCs/>
                <w:sz w:val="24"/>
                <w:szCs w:val="24"/>
                <w:lang w:val="ro-MD" w:eastAsia="ar-SA"/>
              </w:rPr>
              <w:t>ț</w:t>
            </w:r>
            <w:r w:rsidR="009740D3" w:rsidRPr="00DD57E3">
              <w:rPr>
                <w:rFonts w:ascii="Times New Roman" w:eastAsiaTheme="minorEastAsia" w:hAnsi="Times New Roman" w:cs="Times New Roman"/>
                <w:bCs/>
                <w:sz w:val="24"/>
                <w:szCs w:val="24"/>
                <w:lang w:val="ro-MD" w:eastAsia="ar-SA"/>
              </w:rPr>
              <w:t>i cu emisii scăzute</w:t>
            </w:r>
            <w:r w:rsidRPr="00DD57E3">
              <w:rPr>
                <w:rFonts w:ascii="Times New Roman" w:eastAsiaTheme="minorEastAsia" w:hAnsi="Times New Roman" w:cs="Times New Roman"/>
                <w:bCs/>
                <w:sz w:val="24"/>
                <w:szCs w:val="24"/>
                <w:lang w:val="ro-MD" w:eastAsia="ar-SA"/>
              </w:rPr>
              <w:t xml:space="preserve"> </w:t>
            </w:r>
            <w:r w:rsidRPr="00DD57E3">
              <w:rPr>
                <w:rFonts w:ascii="Times New Roman" w:eastAsiaTheme="minorEastAsia" w:hAnsi="Times New Roman" w:cs="Times New Roman"/>
                <w:sz w:val="24"/>
                <w:szCs w:val="24"/>
                <w:lang w:val="ro-MD" w:eastAsia="ar-SA"/>
              </w:rPr>
              <w:t xml:space="preserve">(în continuare – Proiect) a fost elaborat de către Ministerul Infrastructurii </w:t>
            </w:r>
            <w:r w:rsidR="00D84F0C" w:rsidRPr="00DD57E3">
              <w:rPr>
                <w:rFonts w:ascii="Times New Roman" w:eastAsiaTheme="minorEastAsia" w:hAnsi="Times New Roman" w:cs="Times New Roman"/>
                <w:sz w:val="24"/>
                <w:szCs w:val="24"/>
                <w:lang w:val="ro-MD" w:eastAsia="ar-SA"/>
              </w:rPr>
              <w:t>ș</w:t>
            </w:r>
            <w:r w:rsidRPr="00DD57E3">
              <w:rPr>
                <w:rFonts w:ascii="Times New Roman" w:eastAsiaTheme="minorEastAsia" w:hAnsi="Times New Roman" w:cs="Times New Roman"/>
                <w:sz w:val="24"/>
                <w:szCs w:val="24"/>
                <w:lang w:val="ro-MD" w:eastAsia="ar-SA"/>
              </w:rPr>
              <w:t xml:space="preserve">i Dezvoltării Regionale în comun cu Ministerul Energiei, Ministerul Mediului </w:t>
            </w:r>
            <w:r w:rsidR="00D84F0C" w:rsidRPr="00DD57E3">
              <w:rPr>
                <w:rFonts w:ascii="Times New Roman" w:eastAsiaTheme="minorEastAsia" w:hAnsi="Times New Roman" w:cs="Times New Roman"/>
                <w:sz w:val="24"/>
                <w:szCs w:val="24"/>
                <w:lang w:val="ro-MD" w:eastAsia="ar-SA"/>
              </w:rPr>
              <w:t>ș</w:t>
            </w:r>
            <w:r w:rsidRPr="00DD57E3">
              <w:rPr>
                <w:rFonts w:ascii="Times New Roman" w:eastAsiaTheme="minorEastAsia" w:hAnsi="Times New Roman" w:cs="Times New Roman"/>
                <w:sz w:val="24"/>
                <w:szCs w:val="24"/>
                <w:lang w:val="ro-MD" w:eastAsia="ar-SA"/>
              </w:rPr>
              <w:t>i Ministerul Finan</w:t>
            </w:r>
            <w:r w:rsidR="00D84F0C" w:rsidRPr="00DD57E3">
              <w:rPr>
                <w:rFonts w:ascii="Times New Roman" w:eastAsiaTheme="minorEastAsia" w:hAnsi="Times New Roman" w:cs="Times New Roman"/>
                <w:sz w:val="24"/>
                <w:szCs w:val="24"/>
                <w:lang w:val="ro-MD" w:eastAsia="ar-SA"/>
              </w:rPr>
              <w:t>ț</w:t>
            </w:r>
            <w:r w:rsidRPr="00DD57E3">
              <w:rPr>
                <w:rFonts w:ascii="Times New Roman" w:eastAsiaTheme="minorEastAsia" w:hAnsi="Times New Roman" w:cs="Times New Roman"/>
                <w:sz w:val="24"/>
                <w:szCs w:val="24"/>
                <w:lang w:val="ro-MD" w:eastAsia="ar-SA"/>
              </w:rPr>
              <w:t xml:space="preserve">elor. </w:t>
            </w:r>
          </w:p>
        </w:tc>
      </w:tr>
      <w:tr w:rsidR="00D91B9B" w:rsidRPr="00DD57E3" w14:paraId="62DF2336" w14:textId="77777777" w:rsidTr="033CF18F">
        <w:trPr>
          <w:trHeight w:val="375"/>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E5183A" w14:textId="50F2582A" w:rsidR="00D91B9B" w:rsidRPr="00DD57E3" w:rsidRDefault="00D91B9B" w:rsidP="00D91B9B">
            <w:pPr>
              <w:pStyle w:val="a4"/>
              <w:numPr>
                <w:ilvl w:val="0"/>
                <w:numId w:val="2"/>
              </w:numPr>
              <w:tabs>
                <w:tab w:val="left" w:pos="884"/>
                <w:tab w:val="left" w:pos="1196"/>
              </w:tabs>
              <w:suppressAutoHyphens/>
              <w:spacing w:after="0" w:line="240" w:lineRule="auto"/>
              <w:jc w:val="both"/>
              <w:rPr>
                <w:rFonts w:eastAsiaTheme="minorEastAsia" w:cs="Times New Roman"/>
                <w:b/>
                <w:szCs w:val="24"/>
                <w:lang w:val="ro-MD" w:eastAsia="ar-SA"/>
              </w:rPr>
            </w:pPr>
            <w:bookmarkStart w:id="1" w:name="_Hlk191386038"/>
            <w:r w:rsidRPr="00DD57E3">
              <w:rPr>
                <w:rFonts w:eastAsiaTheme="minorEastAsia" w:cs="Times New Roman"/>
                <w:b/>
                <w:szCs w:val="24"/>
                <w:shd w:val="clear" w:color="auto" w:fill="D9E2F3" w:themeFill="accent1" w:themeFillTint="33"/>
                <w:lang w:val="ro-MD" w:eastAsia="ar-SA"/>
              </w:rPr>
              <w:t>Condi</w:t>
            </w:r>
            <w:r w:rsidR="00D84F0C" w:rsidRPr="00DD57E3">
              <w:rPr>
                <w:rFonts w:eastAsiaTheme="minorEastAsia" w:cs="Times New Roman"/>
                <w:b/>
                <w:szCs w:val="24"/>
                <w:shd w:val="clear" w:color="auto" w:fill="D9E2F3" w:themeFill="accent1" w:themeFillTint="33"/>
                <w:lang w:val="ro-MD" w:eastAsia="ar-SA"/>
              </w:rPr>
              <w:t>ț</w:t>
            </w:r>
            <w:r w:rsidRPr="00DD57E3">
              <w:rPr>
                <w:rFonts w:eastAsiaTheme="minorEastAsia" w:cs="Times New Roman"/>
                <w:b/>
                <w:szCs w:val="24"/>
                <w:shd w:val="clear" w:color="auto" w:fill="D9E2F3" w:themeFill="accent1" w:themeFillTint="33"/>
                <w:lang w:val="ro-MD" w:eastAsia="ar-SA"/>
              </w:rPr>
              <w:t xml:space="preserve">iile ce au impus elaborarea proiectului de act normativ </w:t>
            </w:r>
            <w:r w:rsidR="00D84F0C" w:rsidRPr="00DD57E3">
              <w:rPr>
                <w:rFonts w:eastAsiaTheme="minorEastAsia" w:cs="Times New Roman"/>
                <w:b/>
                <w:szCs w:val="24"/>
                <w:shd w:val="clear" w:color="auto" w:fill="D9E2F3" w:themeFill="accent1" w:themeFillTint="33"/>
                <w:lang w:val="ro-MD" w:eastAsia="ar-SA"/>
              </w:rPr>
              <w:t>ș</w:t>
            </w:r>
            <w:r w:rsidRPr="00DD57E3">
              <w:rPr>
                <w:rFonts w:eastAsiaTheme="minorEastAsia" w:cs="Times New Roman"/>
                <w:b/>
                <w:szCs w:val="24"/>
                <w:shd w:val="clear" w:color="auto" w:fill="D9E2F3" w:themeFill="accent1" w:themeFillTint="33"/>
                <w:lang w:val="ro-MD" w:eastAsia="ar-SA"/>
              </w:rPr>
              <w:t>i finalită</w:t>
            </w:r>
            <w:r w:rsidR="00D84F0C" w:rsidRPr="00DD57E3">
              <w:rPr>
                <w:rFonts w:eastAsiaTheme="minorEastAsia" w:cs="Times New Roman"/>
                <w:b/>
                <w:szCs w:val="24"/>
                <w:shd w:val="clear" w:color="auto" w:fill="D9E2F3" w:themeFill="accent1" w:themeFillTint="33"/>
                <w:lang w:val="ro-MD" w:eastAsia="ar-SA"/>
              </w:rPr>
              <w:t>ț</w:t>
            </w:r>
            <w:r w:rsidRPr="00DD57E3">
              <w:rPr>
                <w:rFonts w:eastAsiaTheme="minorEastAsia" w:cs="Times New Roman"/>
                <w:b/>
                <w:szCs w:val="24"/>
                <w:shd w:val="clear" w:color="auto" w:fill="D9E2F3" w:themeFill="accent1" w:themeFillTint="33"/>
                <w:lang w:val="ro-MD" w:eastAsia="ar-SA"/>
              </w:rPr>
              <w:t>ile urmărite</w:t>
            </w:r>
          </w:p>
        </w:tc>
      </w:tr>
      <w:tr w:rsidR="00D91B9B" w:rsidRPr="00DD57E3" w14:paraId="51B32DCA" w14:textId="77777777" w:rsidTr="033CF18F">
        <w:trPr>
          <w:trHeight w:val="350"/>
        </w:trPr>
        <w:tc>
          <w:tcPr>
            <w:tcW w:w="5000" w:type="pct"/>
            <w:tcBorders>
              <w:top w:val="single" w:sz="4" w:space="0" w:color="auto"/>
              <w:left w:val="single" w:sz="4" w:space="0" w:color="auto"/>
              <w:bottom w:val="single" w:sz="4" w:space="0" w:color="auto"/>
              <w:right w:val="single" w:sz="4" w:space="0" w:color="auto"/>
            </w:tcBorders>
            <w:hideMark/>
          </w:tcPr>
          <w:p w14:paraId="2556CD06" w14:textId="77777777" w:rsidR="00D91B9B" w:rsidRPr="00DD57E3" w:rsidRDefault="00D91B9B">
            <w:pPr>
              <w:pStyle w:val="a6"/>
              <w:spacing w:before="60"/>
              <w:ind w:firstLine="0"/>
              <w:rPr>
                <w:b/>
                <w:i/>
                <w:lang w:val="ro-MD"/>
              </w:rPr>
            </w:pPr>
            <w:bookmarkStart w:id="2" w:name="_Hlk191386132"/>
            <w:bookmarkEnd w:id="1"/>
            <w:r w:rsidRPr="00DD57E3">
              <w:rPr>
                <w:b/>
                <w:i/>
                <w:lang w:val="ro-MD"/>
              </w:rPr>
              <w:t>2.1. Temeiul legal sau, după caz, sursa proiectului actului normativ</w:t>
            </w:r>
          </w:p>
          <w:bookmarkEnd w:id="2"/>
          <w:p w14:paraId="0E042311" w14:textId="401A9785" w:rsidR="00D91B9B" w:rsidRPr="00DD57E3" w:rsidRDefault="00D91B9B">
            <w:pPr>
              <w:tabs>
                <w:tab w:val="left" w:pos="241"/>
                <w:tab w:val="left" w:pos="315"/>
                <w:tab w:val="left" w:pos="599"/>
                <w:tab w:val="left" w:pos="922"/>
              </w:tabs>
              <w:spacing w:before="120" w:after="100" w:line="240" w:lineRule="auto"/>
              <w:ind w:right="43"/>
              <w:jc w:val="both"/>
              <w:rPr>
                <w:rFonts w:ascii="Times New Roman" w:hAnsi="Times New Roman" w:cs="Times New Roman"/>
                <w:bCs/>
                <w:sz w:val="24"/>
                <w:szCs w:val="24"/>
                <w:lang w:val="ro-MD"/>
              </w:rPr>
            </w:pPr>
            <w:r w:rsidRPr="00DD57E3">
              <w:rPr>
                <w:rFonts w:ascii="Times New Roman" w:hAnsi="Times New Roman" w:cs="Times New Roman"/>
                <w:bCs/>
                <w:sz w:val="24"/>
                <w:szCs w:val="24"/>
                <w:lang w:val="ro-MD"/>
              </w:rPr>
              <w:t xml:space="preserve">Proiectul este elaborat în scopul transpunerii Directivei 2009/33/CE a Parlamentului European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 xml:space="preserve">i a Consiliului din 23 aprilie 2009 privind promovarea vehiculelor de transport rutier nepoluante </w:t>
            </w:r>
            <w:r w:rsidR="007A2C47" w:rsidRPr="00DD57E3">
              <w:rPr>
                <w:rFonts w:ascii="Times New Roman" w:hAnsi="Times New Roman" w:cs="Times New Roman"/>
                <w:bCs/>
                <w:sz w:val="24"/>
                <w:szCs w:val="24"/>
                <w:lang w:val="ro-MD"/>
              </w:rPr>
              <w:t>în sprijinul unei mobilită</w:t>
            </w:r>
            <w:r w:rsidR="00D84F0C" w:rsidRPr="00DD57E3">
              <w:rPr>
                <w:rFonts w:ascii="Times New Roman" w:hAnsi="Times New Roman" w:cs="Times New Roman"/>
                <w:bCs/>
                <w:sz w:val="24"/>
                <w:szCs w:val="24"/>
                <w:lang w:val="ro-MD"/>
              </w:rPr>
              <w:t>ț</w:t>
            </w:r>
            <w:r w:rsidR="007A2C47" w:rsidRPr="00DD57E3">
              <w:rPr>
                <w:rFonts w:ascii="Times New Roman" w:hAnsi="Times New Roman" w:cs="Times New Roman"/>
                <w:bCs/>
                <w:sz w:val="24"/>
                <w:szCs w:val="24"/>
                <w:lang w:val="ro-MD"/>
              </w:rPr>
              <w:t>i cu emisii scăzute</w:t>
            </w:r>
            <w:r w:rsidRPr="00DD57E3">
              <w:rPr>
                <w:rFonts w:ascii="Times New Roman" w:hAnsi="Times New Roman" w:cs="Times New Roman"/>
                <w:bCs/>
                <w:sz w:val="24"/>
                <w:szCs w:val="24"/>
                <w:lang w:val="ro-MD"/>
              </w:rPr>
              <w:t xml:space="preserve">. </w:t>
            </w:r>
          </w:p>
          <w:p w14:paraId="4FC20C61" w14:textId="0A64E265" w:rsidR="00D91B9B" w:rsidRPr="00DD57E3" w:rsidRDefault="00D91B9B">
            <w:pPr>
              <w:tabs>
                <w:tab w:val="left" w:pos="241"/>
                <w:tab w:val="left" w:pos="315"/>
                <w:tab w:val="left" w:pos="599"/>
                <w:tab w:val="left" w:pos="922"/>
              </w:tabs>
              <w:spacing w:after="100" w:line="240" w:lineRule="auto"/>
              <w:ind w:right="43"/>
              <w:jc w:val="both"/>
              <w:rPr>
                <w:rFonts w:ascii="Times New Roman" w:hAnsi="Times New Roman" w:cs="Times New Roman"/>
                <w:bCs/>
                <w:sz w:val="24"/>
                <w:szCs w:val="24"/>
                <w:lang w:val="ro-MD"/>
              </w:rPr>
            </w:pPr>
            <w:r w:rsidRPr="00DD57E3">
              <w:rPr>
                <w:rFonts w:ascii="Times New Roman" w:hAnsi="Times New Roman" w:cs="Times New Roman"/>
                <w:bCs/>
                <w:sz w:val="24"/>
                <w:szCs w:val="24"/>
                <w:lang w:val="ro-MD"/>
              </w:rPr>
              <w:t xml:space="preserve">Transpunerea Directivei 2009/33/CE este prevăzută de Acordul de Asociere din 27.06.2014 între Republica Moldova, pe de o parte,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 xml:space="preserve">i Uniunea Europeană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 xml:space="preserve">i Comunitatea Europeană a Energiei Atomice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i statele membre ale acestora, pe de altă parte, ratificat de către Parlamentul Republicii Moldova prin Legea nr. 112</w:t>
            </w:r>
            <w:r w:rsidR="007A2C47" w:rsidRPr="00DD57E3">
              <w:rPr>
                <w:rFonts w:ascii="Times New Roman" w:hAnsi="Times New Roman" w:cs="Times New Roman"/>
                <w:bCs/>
                <w:sz w:val="24"/>
                <w:szCs w:val="24"/>
                <w:lang w:val="ro-MD"/>
              </w:rPr>
              <w:t>/</w:t>
            </w:r>
            <w:r w:rsidRPr="00DD57E3">
              <w:rPr>
                <w:rFonts w:ascii="Times New Roman" w:hAnsi="Times New Roman" w:cs="Times New Roman"/>
                <w:bCs/>
                <w:sz w:val="24"/>
                <w:szCs w:val="24"/>
                <w:lang w:val="ro-MD"/>
              </w:rPr>
              <w:t>2014 (în continuare Acordul de Asociere). Conform calendarului stabilit, dispozi</w:t>
            </w:r>
            <w:r w:rsidR="00D84F0C" w:rsidRPr="00DD57E3">
              <w:rPr>
                <w:rFonts w:ascii="Times New Roman" w:hAnsi="Times New Roman" w:cs="Times New Roman"/>
                <w:bCs/>
                <w:sz w:val="24"/>
                <w:szCs w:val="24"/>
                <w:lang w:val="ro-MD"/>
              </w:rPr>
              <w:t>ț</w:t>
            </w:r>
            <w:r w:rsidRPr="00DD57E3">
              <w:rPr>
                <w:rFonts w:ascii="Times New Roman" w:hAnsi="Times New Roman" w:cs="Times New Roman"/>
                <w:bCs/>
                <w:sz w:val="24"/>
                <w:szCs w:val="24"/>
                <w:lang w:val="ro-MD"/>
              </w:rPr>
              <w:t xml:space="preserve">iile Directivei urmau a fi puse în aplicare în termen de 3 ani de la intrarea în vigoare a Acordului de Asociere (Anexa VIII la Capitolul 14 (Cooperarea în sectorul energetic) din titlul IV al Acordului de Asociere). </w:t>
            </w:r>
          </w:p>
          <w:p w14:paraId="6261D0D5" w14:textId="56B8111E" w:rsidR="00D91B9B" w:rsidRPr="00DD57E3" w:rsidRDefault="00D91B9B">
            <w:pPr>
              <w:tabs>
                <w:tab w:val="left" w:pos="241"/>
                <w:tab w:val="left" w:pos="315"/>
                <w:tab w:val="left" w:pos="599"/>
                <w:tab w:val="left" w:pos="922"/>
              </w:tabs>
              <w:spacing w:after="100" w:line="240" w:lineRule="auto"/>
              <w:ind w:right="43"/>
              <w:jc w:val="both"/>
              <w:rPr>
                <w:rFonts w:ascii="Times New Roman" w:hAnsi="Times New Roman" w:cs="Times New Roman"/>
                <w:sz w:val="24"/>
                <w:szCs w:val="24"/>
                <w:lang w:val="ro-MD"/>
              </w:rPr>
            </w:pPr>
            <w:r w:rsidRPr="00DD57E3">
              <w:rPr>
                <w:rFonts w:ascii="Times New Roman" w:hAnsi="Times New Roman" w:cs="Times New Roman"/>
                <w:bCs/>
                <w:sz w:val="24"/>
                <w:szCs w:val="24"/>
                <w:lang w:val="ro-MD"/>
              </w:rPr>
              <w:t>Directiva 2009/33/C</w:t>
            </w:r>
            <w:r w:rsidR="00BF4B4D" w:rsidRPr="00DD57E3">
              <w:rPr>
                <w:rFonts w:ascii="Times New Roman" w:hAnsi="Times New Roman" w:cs="Times New Roman"/>
                <w:bCs/>
                <w:sz w:val="24"/>
                <w:szCs w:val="24"/>
                <w:lang w:val="ro-MD"/>
              </w:rPr>
              <w:t>E</w:t>
            </w:r>
            <w:r w:rsidRPr="00DD57E3">
              <w:rPr>
                <w:rFonts w:ascii="Times New Roman" w:hAnsi="Times New Roman" w:cs="Times New Roman"/>
                <w:bCs/>
                <w:sz w:val="24"/>
                <w:szCs w:val="24"/>
                <w:lang w:val="ro-MD"/>
              </w:rPr>
              <w:t xml:space="preserve"> se aplică contractelor de achizi</w:t>
            </w:r>
            <w:r w:rsidR="00D84F0C" w:rsidRPr="00DD57E3">
              <w:rPr>
                <w:rFonts w:ascii="Times New Roman" w:hAnsi="Times New Roman" w:cs="Times New Roman"/>
                <w:bCs/>
                <w:sz w:val="24"/>
                <w:szCs w:val="24"/>
                <w:lang w:val="ro-MD"/>
              </w:rPr>
              <w:t>ț</w:t>
            </w:r>
            <w:r w:rsidRPr="00DD57E3">
              <w:rPr>
                <w:rFonts w:ascii="Times New Roman" w:hAnsi="Times New Roman" w:cs="Times New Roman"/>
                <w:bCs/>
                <w:sz w:val="24"/>
                <w:szCs w:val="24"/>
                <w:lang w:val="ro-MD"/>
              </w:rPr>
              <w:t>ie</w:t>
            </w:r>
            <w:r w:rsidR="003A6DEB" w:rsidRPr="00DD57E3">
              <w:rPr>
                <w:rFonts w:ascii="Times New Roman" w:hAnsi="Times New Roman" w:cs="Times New Roman"/>
                <w:bCs/>
                <w:sz w:val="24"/>
                <w:szCs w:val="24"/>
                <w:lang w:val="ro-MD"/>
              </w:rPr>
              <w:t xml:space="preserve">, leasing, închiriere </w:t>
            </w:r>
            <w:r w:rsidR="00D84F0C" w:rsidRPr="00DD57E3">
              <w:rPr>
                <w:rFonts w:ascii="Times New Roman" w:hAnsi="Times New Roman" w:cs="Times New Roman"/>
                <w:bCs/>
                <w:sz w:val="24"/>
                <w:szCs w:val="24"/>
                <w:lang w:val="ro-MD"/>
              </w:rPr>
              <w:t>ș</w:t>
            </w:r>
            <w:r w:rsidR="003A6DEB" w:rsidRPr="00DD57E3">
              <w:rPr>
                <w:rFonts w:ascii="Times New Roman" w:hAnsi="Times New Roman" w:cs="Times New Roman"/>
                <w:bCs/>
                <w:sz w:val="24"/>
                <w:szCs w:val="24"/>
                <w:lang w:val="ro-MD"/>
              </w:rPr>
              <w:t>i cumpărarea cu plata în rate</w:t>
            </w:r>
            <w:r w:rsidRPr="00DD57E3">
              <w:rPr>
                <w:rFonts w:ascii="Times New Roman" w:hAnsi="Times New Roman" w:cs="Times New Roman"/>
                <w:bCs/>
                <w:sz w:val="24"/>
                <w:szCs w:val="24"/>
                <w:lang w:val="ro-MD"/>
              </w:rPr>
              <w:t xml:space="preserve"> a anumitor vehicule de transport rutier (autoturisme, furgonete, camioane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 xml:space="preserve">i autobuze)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i servicii, de către autorită</w:t>
            </w:r>
            <w:r w:rsidR="00D84F0C" w:rsidRPr="00DD57E3">
              <w:rPr>
                <w:rFonts w:ascii="Times New Roman" w:hAnsi="Times New Roman" w:cs="Times New Roman"/>
                <w:bCs/>
                <w:sz w:val="24"/>
                <w:szCs w:val="24"/>
                <w:lang w:val="ro-MD"/>
              </w:rPr>
              <w:t>ț</w:t>
            </w:r>
            <w:r w:rsidRPr="00DD57E3">
              <w:rPr>
                <w:rFonts w:ascii="Times New Roman" w:hAnsi="Times New Roman" w:cs="Times New Roman"/>
                <w:bCs/>
                <w:sz w:val="24"/>
                <w:szCs w:val="24"/>
                <w:lang w:val="ro-MD"/>
              </w:rPr>
              <w:t>ile contractante</w:t>
            </w:r>
            <w:r w:rsidR="003A3B7B" w:rsidRPr="00DD57E3">
              <w:rPr>
                <w:rFonts w:ascii="Times New Roman" w:hAnsi="Times New Roman" w:cs="Times New Roman"/>
                <w:bCs/>
                <w:sz w:val="24"/>
                <w:szCs w:val="24"/>
                <w:lang w:val="ro-MD"/>
              </w:rPr>
              <w:t xml:space="preserve"> care cad sub incidența Directivei </w:t>
            </w:r>
            <w:r w:rsidR="003A3B7B" w:rsidRPr="00DD57E3">
              <w:rPr>
                <w:rFonts w:ascii="Times New Roman" w:hAnsi="Times New Roman" w:cs="Times New Roman"/>
                <w:lang w:val="ro-MD"/>
              </w:rPr>
              <w:t>2014/24/UE</w:t>
            </w:r>
            <w:r w:rsidR="009E4E81" w:rsidRPr="00DD57E3">
              <w:rPr>
                <w:rStyle w:val="ac"/>
                <w:rFonts w:ascii="Times New Roman" w:hAnsi="Times New Roman" w:cs="Times New Roman"/>
                <w:bCs/>
                <w:sz w:val="24"/>
                <w:szCs w:val="24"/>
                <w:lang w:val="ro-MD"/>
              </w:rPr>
              <w:footnoteReference w:id="2"/>
            </w:r>
            <w:r w:rsidRPr="00DD57E3">
              <w:rPr>
                <w:rFonts w:ascii="Times New Roman" w:hAnsi="Times New Roman" w:cs="Times New Roman"/>
                <w:bCs/>
                <w:sz w:val="24"/>
                <w:szCs w:val="24"/>
                <w:lang w:val="ro-MD"/>
              </w:rPr>
              <w:t>, entită</w:t>
            </w:r>
            <w:r w:rsidR="00D84F0C" w:rsidRPr="00DD57E3">
              <w:rPr>
                <w:rFonts w:ascii="Times New Roman" w:hAnsi="Times New Roman" w:cs="Times New Roman"/>
                <w:bCs/>
                <w:sz w:val="24"/>
                <w:szCs w:val="24"/>
                <w:lang w:val="ro-MD"/>
              </w:rPr>
              <w:t>ț</w:t>
            </w:r>
            <w:r w:rsidRPr="00DD57E3">
              <w:rPr>
                <w:rFonts w:ascii="Times New Roman" w:hAnsi="Times New Roman" w:cs="Times New Roman"/>
                <w:bCs/>
                <w:sz w:val="24"/>
                <w:szCs w:val="24"/>
                <w:lang w:val="ro-MD"/>
              </w:rPr>
              <w:t>ile contractante</w:t>
            </w:r>
            <w:r w:rsidR="003A3B7B" w:rsidRPr="00DD57E3">
              <w:rPr>
                <w:rFonts w:ascii="Times New Roman" w:hAnsi="Times New Roman" w:cs="Times New Roman"/>
                <w:bCs/>
                <w:sz w:val="24"/>
                <w:szCs w:val="24"/>
                <w:lang w:val="ro-MD"/>
              </w:rPr>
              <w:t xml:space="preserve"> care cad sub incidența Directivei </w:t>
            </w:r>
            <w:r w:rsidR="003A3B7B" w:rsidRPr="00DD57E3">
              <w:rPr>
                <w:rFonts w:ascii="Times New Roman" w:hAnsi="Times New Roman" w:cs="Times New Roman"/>
                <w:sz w:val="24"/>
                <w:szCs w:val="24"/>
                <w:lang w:val="ro-MD"/>
              </w:rPr>
              <w:t>2014/25/UE</w:t>
            </w:r>
            <w:r w:rsidR="003A3B7B" w:rsidRPr="00DD57E3">
              <w:rPr>
                <w:rStyle w:val="ac"/>
                <w:rFonts w:ascii="Times New Roman" w:hAnsi="Times New Roman" w:cs="Times New Roman"/>
                <w:bCs/>
                <w:sz w:val="24"/>
                <w:szCs w:val="24"/>
                <w:lang w:val="ro-MD"/>
              </w:rPr>
              <w:footnoteReference w:id="3"/>
            </w:r>
            <w:r w:rsidRPr="00DD57E3">
              <w:rPr>
                <w:rFonts w:ascii="Times New Roman" w:hAnsi="Times New Roman" w:cs="Times New Roman"/>
                <w:bCs/>
                <w:sz w:val="24"/>
                <w:szCs w:val="24"/>
                <w:lang w:val="ro-MD"/>
              </w:rPr>
              <w:t xml:space="preserve">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i operatorii care îndeplinesc obliga</w:t>
            </w:r>
            <w:r w:rsidR="00D84F0C" w:rsidRPr="00DD57E3">
              <w:rPr>
                <w:rFonts w:ascii="Times New Roman" w:hAnsi="Times New Roman" w:cs="Times New Roman"/>
                <w:bCs/>
                <w:sz w:val="24"/>
                <w:szCs w:val="24"/>
                <w:lang w:val="ro-MD"/>
              </w:rPr>
              <w:t>ț</w:t>
            </w:r>
            <w:r w:rsidRPr="00DD57E3">
              <w:rPr>
                <w:rFonts w:ascii="Times New Roman" w:hAnsi="Times New Roman" w:cs="Times New Roman"/>
                <w:bCs/>
                <w:sz w:val="24"/>
                <w:szCs w:val="24"/>
                <w:lang w:val="ro-MD"/>
              </w:rPr>
              <w:t xml:space="preserve">ii de serviciu public în cadrul unui contract de servicii publice. </w:t>
            </w:r>
          </w:p>
          <w:p w14:paraId="1C79B0A0" w14:textId="27ACF843" w:rsidR="00A5734B" w:rsidRPr="00DD57E3" w:rsidRDefault="00A5734B">
            <w:pPr>
              <w:tabs>
                <w:tab w:val="left" w:pos="241"/>
                <w:tab w:val="left" w:pos="315"/>
                <w:tab w:val="left" w:pos="599"/>
                <w:tab w:val="left" w:pos="922"/>
              </w:tabs>
              <w:spacing w:after="100" w:line="240" w:lineRule="auto"/>
              <w:ind w:right="43"/>
              <w:jc w:val="both"/>
              <w:rPr>
                <w:rFonts w:ascii="Times New Roman" w:hAnsi="Times New Roman" w:cs="Times New Roman"/>
                <w:bCs/>
                <w:sz w:val="24"/>
                <w:szCs w:val="24"/>
                <w:lang w:val="ro-MD"/>
              </w:rPr>
            </w:pPr>
            <w:r w:rsidRPr="00DD57E3">
              <w:rPr>
                <w:rFonts w:ascii="Times New Roman" w:hAnsi="Times New Roman" w:cs="Times New Roman"/>
                <w:bCs/>
                <w:sz w:val="24"/>
                <w:szCs w:val="24"/>
                <w:lang w:val="ro-MD"/>
              </w:rPr>
              <w:t>Astfel, proiectul transpune Directiva 2009/33/CE în redac</w:t>
            </w:r>
            <w:r w:rsidR="00D84F0C" w:rsidRPr="00DD57E3">
              <w:rPr>
                <w:rFonts w:ascii="Times New Roman" w:hAnsi="Times New Roman" w:cs="Times New Roman"/>
                <w:bCs/>
                <w:sz w:val="24"/>
                <w:szCs w:val="24"/>
                <w:lang w:val="ro-MD"/>
              </w:rPr>
              <w:t>ț</w:t>
            </w:r>
            <w:r w:rsidRPr="00DD57E3">
              <w:rPr>
                <w:rFonts w:ascii="Times New Roman" w:hAnsi="Times New Roman" w:cs="Times New Roman"/>
                <w:bCs/>
                <w:sz w:val="24"/>
                <w:szCs w:val="24"/>
                <w:lang w:val="ro-MD"/>
              </w:rPr>
              <w:t xml:space="preserve">ia actualizată prin Directiva (UE) 2019/1161 a Parlamentului European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 xml:space="preserve">i a Consiliului din 20 iunie 2019 de modificare a Directivei 2009/33/CE privind promovarea vehiculelor de transport rutier nepoluante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i eficiente din punct de vedere energetic</w:t>
            </w:r>
            <w:r w:rsidRPr="00DD57E3">
              <w:rPr>
                <w:rFonts w:ascii="Times New Roman" w:hAnsi="Times New Roman" w:cs="Times New Roman"/>
                <w:bCs/>
                <w:iCs/>
                <w:sz w:val="24"/>
                <w:szCs w:val="24"/>
                <w:lang w:val="ro-MD"/>
              </w:rPr>
              <w:t xml:space="preserve">, cu ultimele </w:t>
            </w:r>
            <w:r w:rsidRPr="00DD57E3">
              <w:rPr>
                <w:rFonts w:ascii="Times New Roman" w:hAnsi="Times New Roman" w:cs="Times New Roman"/>
                <w:bCs/>
                <w:sz w:val="24"/>
                <w:szCs w:val="24"/>
                <w:lang w:val="ro-MD"/>
              </w:rPr>
              <w:t xml:space="preserve">modificări operate prin Decizia (UE) 2024/1254 a Parlamentului European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 xml:space="preserve">i a Consiliului de modificare a Directivelor 2009/12/CE, 2009/33/CE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 xml:space="preserve">i (UE) 2022/1999 ale Parlamentului European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 xml:space="preserve">i ale Consiliului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i a Directivei 96/67/CE a Consiliului în ceea ce prive</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te anumite cerin</w:t>
            </w:r>
            <w:r w:rsidR="00D84F0C" w:rsidRPr="00DD57E3">
              <w:rPr>
                <w:rFonts w:ascii="Times New Roman" w:hAnsi="Times New Roman" w:cs="Times New Roman"/>
                <w:bCs/>
                <w:sz w:val="24"/>
                <w:szCs w:val="24"/>
                <w:lang w:val="ro-MD"/>
              </w:rPr>
              <w:t>ț</w:t>
            </w:r>
            <w:r w:rsidRPr="00DD57E3">
              <w:rPr>
                <w:rFonts w:ascii="Times New Roman" w:hAnsi="Times New Roman" w:cs="Times New Roman"/>
                <w:bCs/>
                <w:sz w:val="24"/>
                <w:szCs w:val="24"/>
                <w:lang w:val="ro-MD"/>
              </w:rPr>
              <w:t xml:space="preserve">e de raportare în domeniul transportului rutier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i al avia</w:t>
            </w:r>
            <w:r w:rsidR="00D84F0C" w:rsidRPr="00DD57E3">
              <w:rPr>
                <w:rFonts w:ascii="Times New Roman" w:hAnsi="Times New Roman" w:cs="Times New Roman"/>
                <w:bCs/>
                <w:sz w:val="24"/>
                <w:szCs w:val="24"/>
                <w:lang w:val="ro-MD"/>
              </w:rPr>
              <w:t>ț</w:t>
            </w:r>
            <w:r w:rsidRPr="00DD57E3">
              <w:rPr>
                <w:rFonts w:ascii="Times New Roman" w:hAnsi="Times New Roman" w:cs="Times New Roman"/>
                <w:bCs/>
                <w:sz w:val="24"/>
                <w:szCs w:val="24"/>
                <w:lang w:val="ro-MD"/>
              </w:rPr>
              <w:t xml:space="preserve">iei.  </w:t>
            </w:r>
          </w:p>
          <w:p w14:paraId="0A002515" w14:textId="4D733AE7" w:rsidR="009B5EF2" w:rsidRPr="00DD57E3" w:rsidRDefault="009B5EF2" w:rsidP="003273E6">
            <w:pPr>
              <w:tabs>
                <w:tab w:val="left" w:pos="241"/>
                <w:tab w:val="left" w:pos="315"/>
                <w:tab w:val="left" w:pos="599"/>
                <w:tab w:val="left" w:pos="922"/>
              </w:tabs>
              <w:spacing w:after="12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În conformitate cu prevederile art. 2 alin. (1) prima teză din Directiva (UE) 2019/1161, statele membre au obliga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ia de a asigura, la nivel na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ional, intrarea în vigoare a actelor cu putere de lege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a actelor administrative necesare pentru a se conforma cu actul normativ european.</w:t>
            </w:r>
          </w:p>
          <w:p w14:paraId="5D957549" w14:textId="548C638B" w:rsidR="00D91B9B" w:rsidRPr="00DD57E3" w:rsidRDefault="00D91B9B">
            <w:pPr>
              <w:tabs>
                <w:tab w:val="left" w:pos="241"/>
                <w:tab w:val="left" w:pos="315"/>
                <w:tab w:val="left" w:pos="599"/>
                <w:tab w:val="left" w:pos="922"/>
              </w:tabs>
              <w:spacing w:line="240" w:lineRule="auto"/>
              <w:ind w:right="45"/>
              <w:jc w:val="both"/>
              <w:rPr>
                <w:rFonts w:ascii="Times New Roman" w:hAnsi="Times New Roman" w:cs="Times New Roman"/>
                <w:b/>
                <w:i/>
                <w:sz w:val="24"/>
                <w:szCs w:val="24"/>
                <w:lang w:val="ro-MD"/>
              </w:rPr>
            </w:pPr>
            <w:bookmarkStart w:id="3" w:name="_Hlk191386143"/>
            <w:r w:rsidRPr="00DD57E3">
              <w:rPr>
                <w:rFonts w:ascii="Times New Roman" w:hAnsi="Times New Roman" w:cs="Times New Roman"/>
                <w:b/>
                <w:i/>
                <w:sz w:val="24"/>
                <w:szCs w:val="24"/>
                <w:lang w:val="ro-MD"/>
              </w:rPr>
              <w:t>2.2. Descrierea situa</w:t>
            </w:r>
            <w:r w:rsidR="00D84F0C" w:rsidRPr="00DD57E3">
              <w:rPr>
                <w:rFonts w:ascii="Times New Roman" w:hAnsi="Times New Roman" w:cs="Times New Roman"/>
                <w:b/>
                <w:i/>
                <w:sz w:val="24"/>
                <w:szCs w:val="24"/>
                <w:lang w:val="ro-MD"/>
              </w:rPr>
              <w:t>ț</w:t>
            </w:r>
            <w:r w:rsidRPr="00DD57E3">
              <w:rPr>
                <w:rFonts w:ascii="Times New Roman" w:hAnsi="Times New Roman" w:cs="Times New Roman"/>
                <w:b/>
                <w:i/>
                <w:sz w:val="24"/>
                <w:szCs w:val="24"/>
                <w:lang w:val="ro-MD"/>
              </w:rPr>
              <w:t xml:space="preserve">iei actuale </w:t>
            </w:r>
            <w:r w:rsidR="00D84F0C" w:rsidRPr="00DD57E3">
              <w:rPr>
                <w:rFonts w:ascii="Times New Roman" w:hAnsi="Times New Roman" w:cs="Times New Roman"/>
                <w:b/>
                <w:i/>
                <w:sz w:val="24"/>
                <w:szCs w:val="24"/>
                <w:lang w:val="ro-MD"/>
              </w:rPr>
              <w:t>ș</w:t>
            </w:r>
            <w:r w:rsidRPr="00DD57E3">
              <w:rPr>
                <w:rFonts w:ascii="Times New Roman" w:hAnsi="Times New Roman" w:cs="Times New Roman"/>
                <w:b/>
                <w:i/>
                <w:sz w:val="24"/>
                <w:szCs w:val="24"/>
                <w:lang w:val="ro-MD"/>
              </w:rPr>
              <w:t>i a problemelor care impun interven</w:t>
            </w:r>
            <w:r w:rsidR="00D84F0C" w:rsidRPr="00DD57E3">
              <w:rPr>
                <w:rFonts w:ascii="Times New Roman" w:hAnsi="Times New Roman" w:cs="Times New Roman"/>
                <w:b/>
                <w:i/>
                <w:sz w:val="24"/>
                <w:szCs w:val="24"/>
                <w:lang w:val="ro-MD"/>
              </w:rPr>
              <w:t>ț</w:t>
            </w:r>
            <w:r w:rsidRPr="00DD57E3">
              <w:rPr>
                <w:rFonts w:ascii="Times New Roman" w:hAnsi="Times New Roman" w:cs="Times New Roman"/>
                <w:b/>
                <w:i/>
                <w:sz w:val="24"/>
                <w:szCs w:val="24"/>
                <w:lang w:val="ro-MD"/>
              </w:rPr>
              <w:t xml:space="preserve">ia, inclusiv a cadrului normativ aplicabil </w:t>
            </w:r>
            <w:r w:rsidR="00D84F0C" w:rsidRPr="00DD57E3">
              <w:rPr>
                <w:rFonts w:ascii="Times New Roman" w:hAnsi="Times New Roman" w:cs="Times New Roman"/>
                <w:b/>
                <w:i/>
                <w:sz w:val="24"/>
                <w:szCs w:val="24"/>
                <w:lang w:val="ro-MD"/>
              </w:rPr>
              <w:t>ș</w:t>
            </w:r>
            <w:r w:rsidRPr="00DD57E3">
              <w:rPr>
                <w:rFonts w:ascii="Times New Roman" w:hAnsi="Times New Roman" w:cs="Times New Roman"/>
                <w:b/>
                <w:i/>
                <w:sz w:val="24"/>
                <w:szCs w:val="24"/>
                <w:lang w:val="ro-MD"/>
              </w:rPr>
              <w:t>i a deficien</w:t>
            </w:r>
            <w:r w:rsidR="00D84F0C" w:rsidRPr="00DD57E3">
              <w:rPr>
                <w:rFonts w:ascii="Times New Roman" w:hAnsi="Times New Roman" w:cs="Times New Roman"/>
                <w:b/>
                <w:i/>
                <w:sz w:val="24"/>
                <w:szCs w:val="24"/>
                <w:lang w:val="ro-MD"/>
              </w:rPr>
              <w:t>ț</w:t>
            </w:r>
            <w:r w:rsidRPr="00DD57E3">
              <w:rPr>
                <w:rFonts w:ascii="Times New Roman" w:hAnsi="Times New Roman" w:cs="Times New Roman"/>
                <w:b/>
                <w:i/>
                <w:sz w:val="24"/>
                <w:szCs w:val="24"/>
                <w:lang w:val="ro-MD"/>
              </w:rPr>
              <w:t>elor/lacunelor normative</w:t>
            </w:r>
          </w:p>
          <w:bookmarkEnd w:id="3"/>
          <w:p w14:paraId="49C15FAA" w14:textId="6574C233" w:rsidR="00D91B9B" w:rsidRPr="00DD57E3" w:rsidRDefault="00D91B9B">
            <w:pPr>
              <w:tabs>
                <w:tab w:val="left" w:pos="241"/>
                <w:tab w:val="left" w:pos="315"/>
                <w:tab w:val="left" w:pos="599"/>
                <w:tab w:val="left" w:pos="922"/>
              </w:tabs>
              <w:spacing w:after="100" w:line="240" w:lineRule="auto"/>
              <w:ind w:right="43"/>
              <w:jc w:val="both"/>
              <w:rPr>
                <w:rFonts w:ascii="Times New Roman" w:hAnsi="Times New Roman" w:cs="Times New Roman"/>
                <w:sz w:val="24"/>
                <w:szCs w:val="24"/>
                <w:lang w:val="ro-MD"/>
              </w:rPr>
            </w:pPr>
            <w:r w:rsidRPr="00DD57E3">
              <w:rPr>
                <w:rFonts w:ascii="Times New Roman" w:hAnsi="Times New Roman" w:cs="Times New Roman"/>
                <w:bCs/>
                <w:sz w:val="24"/>
                <w:szCs w:val="24"/>
                <w:lang w:val="ro-MD"/>
              </w:rPr>
              <w:t>Odată cu ob</w:t>
            </w:r>
            <w:r w:rsidR="00D84F0C" w:rsidRPr="00DD57E3">
              <w:rPr>
                <w:rFonts w:ascii="Times New Roman" w:hAnsi="Times New Roman" w:cs="Times New Roman"/>
                <w:bCs/>
                <w:sz w:val="24"/>
                <w:szCs w:val="24"/>
                <w:lang w:val="ro-MD"/>
              </w:rPr>
              <w:t>ț</w:t>
            </w:r>
            <w:r w:rsidRPr="00DD57E3">
              <w:rPr>
                <w:rFonts w:ascii="Times New Roman" w:hAnsi="Times New Roman" w:cs="Times New Roman"/>
                <w:bCs/>
                <w:sz w:val="24"/>
                <w:szCs w:val="24"/>
                <w:lang w:val="ro-MD"/>
              </w:rPr>
              <w:t xml:space="preserve">inerea, la data de 23 iunie 2022 de către Republica Moldova a statutului de </w:t>
            </w:r>
            <w:r w:rsidR="00D84F0C" w:rsidRPr="00DD57E3">
              <w:rPr>
                <w:rFonts w:ascii="Times New Roman" w:hAnsi="Times New Roman" w:cs="Times New Roman"/>
                <w:bCs/>
                <w:sz w:val="24"/>
                <w:szCs w:val="24"/>
                <w:lang w:val="ro-MD"/>
              </w:rPr>
              <w:t>ț</w:t>
            </w:r>
            <w:r w:rsidRPr="00DD57E3">
              <w:rPr>
                <w:rFonts w:ascii="Times New Roman" w:hAnsi="Times New Roman" w:cs="Times New Roman"/>
                <w:bCs/>
                <w:sz w:val="24"/>
                <w:szCs w:val="24"/>
                <w:lang w:val="ro-MD"/>
              </w:rPr>
              <w:t xml:space="preserve">ară candidată pentru </w:t>
            </w:r>
            <w:r w:rsidRPr="00DD57E3">
              <w:rPr>
                <w:rFonts w:ascii="Times New Roman" w:hAnsi="Times New Roman" w:cs="Times New Roman"/>
                <w:sz w:val="24"/>
                <w:szCs w:val="24"/>
                <w:lang w:val="ro-MD"/>
              </w:rPr>
              <w:t>aderarea la Uniunea Europeană,</w:t>
            </w:r>
            <w:r w:rsidRPr="00DD57E3">
              <w:rPr>
                <w:rFonts w:ascii="Times New Roman" w:hAnsi="Times New Roman" w:cs="Times New Roman"/>
                <w:bCs/>
                <w:sz w:val="24"/>
                <w:szCs w:val="24"/>
                <w:lang w:val="ro-MD"/>
              </w:rPr>
              <w:t xml:space="preserve"> a fost recunoscută perspectiva europeană a Republicii Moldova</w:t>
            </w:r>
            <w:r w:rsidRPr="00DD57E3">
              <w:rPr>
                <w:rFonts w:ascii="Times New Roman" w:hAnsi="Times New Roman" w:cs="Times New Roman"/>
                <w:sz w:val="24"/>
                <w:szCs w:val="24"/>
                <w:lang w:val="ro-MD"/>
              </w:rPr>
              <w:t>.</w:t>
            </w:r>
            <w:r w:rsidRPr="00DD57E3">
              <w:rPr>
                <w:rFonts w:ascii="Times New Roman" w:hAnsi="Times New Roman" w:cs="Times New Roman"/>
                <w:bCs/>
                <w:sz w:val="24"/>
                <w:szCs w:val="24"/>
                <w:lang w:val="ro-MD"/>
              </w:rPr>
              <w:t xml:space="preserve"> În conformitate cu Concluziile Reuniunii Consiliului European din 23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i 24 iunie 2022</w:t>
            </w:r>
            <w:r w:rsidRPr="00DD57E3">
              <w:rPr>
                <w:rStyle w:val="ac"/>
                <w:rFonts w:ascii="Times New Roman" w:hAnsi="Times New Roman" w:cs="Times New Roman"/>
                <w:bCs/>
                <w:sz w:val="24"/>
                <w:szCs w:val="24"/>
                <w:lang w:val="ro-MD"/>
              </w:rPr>
              <w:footnoteReference w:id="4"/>
            </w:r>
            <w:r w:rsidRPr="00DD57E3">
              <w:rPr>
                <w:rFonts w:ascii="Times New Roman" w:hAnsi="Times New Roman" w:cs="Times New Roman"/>
                <w:bCs/>
                <w:sz w:val="24"/>
                <w:szCs w:val="24"/>
                <w:lang w:val="ro-MD"/>
              </w:rPr>
              <w:t xml:space="preserve"> </w:t>
            </w:r>
            <w:r w:rsidRPr="00DD57E3">
              <w:rPr>
                <w:rFonts w:ascii="Times New Roman" w:hAnsi="Times New Roman" w:cs="Times New Roman"/>
                <w:sz w:val="24"/>
                <w:szCs w:val="24"/>
                <w:lang w:val="ro-MD"/>
              </w:rPr>
              <w:t xml:space="preserve">progresul către aderarea la Uniunea Europeană va depinde de îndeplinirea de către Republica Moldova a criteriilor de la Copenhaga, </w:t>
            </w:r>
            <w:r w:rsidRPr="00DD57E3">
              <w:rPr>
                <w:rFonts w:ascii="Times New Roman" w:hAnsi="Times New Roman" w:cs="Times New Roman"/>
                <w:sz w:val="24"/>
                <w:szCs w:val="24"/>
                <w:lang w:val="ro-MD"/>
              </w:rPr>
              <w:lastRenderedPageBreak/>
              <w:t>care reprezintă condi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iile de aderare conform art. 6 alin. (1)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art. 46 din Tratatul de Func</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ionare a Uniunii Europene semnat la 13 decembrie 2007. </w:t>
            </w:r>
          </w:p>
          <w:p w14:paraId="1A7FD70D" w14:textId="1C70C984" w:rsidR="00D91B9B" w:rsidRPr="00DD57E3" w:rsidRDefault="00D91B9B">
            <w:pPr>
              <w:tabs>
                <w:tab w:val="left" w:pos="241"/>
                <w:tab w:val="left" w:pos="315"/>
                <w:tab w:val="left" w:pos="599"/>
                <w:tab w:val="left" w:pos="922"/>
              </w:tabs>
              <w:spacing w:after="10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Unul dintre principalele criteriile de aderare este capacitatea statului de a-</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asuma obliga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iile de membru, de a implementa acquis-ul Uniunii Europene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de a se alinia obiectivelor politice, economice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monetare ale Uniunii Europene</w:t>
            </w:r>
            <w:r w:rsidRPr="00DD57E3">
              <w:rPr>
                <w:vertAlign w:val="superscript"/>
                <w:lang w:val="ro-MD"/>
              </w:rPr>
              <w:footnoteReference w:id="5"/>
            </w:r>
            <w:r w:rsidRPr="00DD57E3">
              <w:rPr>
                <w:rFonts w:ascii="Times New Roman" w:hAnsi="Times New Roman" w:cs="Times New Roman"/>
                <w:sz w:val="24"/>
                <w:szCs w:val="24"/>
                <w:lang w:val="ro-MD"/>
              </w:rPr>
              <w:t xml:space="preserve">. Respectiv, Consiliul European urmează să evalueze anual progresul înregistrat de Republica Moldova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să adopte</w:t>
            </w:r>
            <w:r w:rsidR="00CC61B3" w:rsidRPr="00DD57E3">
              <w:rPr>
                <w:rFonts w:ascii="Times New Roman" w:hAnsi="Times New Roman" w:cs="Times New Roman"/>
                <w:sz w:val="24"/>
                <w:szCs w:val="24"/>
                <w:lang w:val="ro-MD"/>
              </w:rPr>
              <w:t xml:space="preserve"> </w:t>
            </w:r>
            <w:r w:rsidRPr="00DD57E3">
              <w:rPr>
                <w:rFonts w:ascii="Times New Roman" w:hAnsi="Times New Roman" w:cs="Times New Roman"/>
                <w:sz w:val="24"/>
                <w:szCs w:val="24"/>
                <w:lang w:val="ro-MD"/>
              </w:rPr>
              <w:t>concluzii privind evolu</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 procesul de asociere. Urmare a Reuniunii Consiliului European din 14-15 decembrie 2023, a fost ini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iată negocierea de aderare cu Republica Moldova, care cuprinde screening-ul legislativ privind progresul transpunerii/aproximării legisla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iei na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ionale cu acquis-ul Uniunii Europene. </w:t>
            </w:r>
          </w:p>
          <w:p w14:paraId="569E35D0" w14:textId="15FA9A20" w:rsidR="001C3047" w:rsidRPr="00DD57E3" w:rsidRDefault="001C3047">
            <w:pPr>
              <w:tabs>
                <w:tab w:val="left" w:pos="241"/>
                <w:tab w:val="left" w:pos="315"/>
                <w:tab w:val="left" w:pos="599"/>
                <w:tab w:val="left" w:pos="922"/>
              </w:tabs>
              <w:spacing w:after="10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 xml:space="preserve">Uniunea Europeană are dezideratul de a asigura un sistem energetic durabil, competitiv, sigur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care generează emisii reduse de dioxid de carbon, unul dintre principalele obiective vizate în acest sens fiind accelerarea decarbonizării sectorului transporturilor prin aplicarea de măsuri care să favorizeze tranzi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 spre preponderen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a transportului public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promovarea vehiculelor nepoluante prin intermediul procedurilor de achizi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publice.</w:t>
            </w:r>
          </w:p>
          <w:p w14:paraId="3569BC7B" w14:textId="2560C401" w:rsidR="00D91B9B" w:rsidRPr="00DD57E3" w:rsidRDefault="00D91B9B">
            <w:pPr>
              <w:tabs>
                <w:tab w:val="left" w:pos="241"/>
                <w:tab w:val="left" w:pos="315"/>
                <w:tab w:val="left" w:pos="599"/>
                <w:tab w:val="left" w:pos="922"/>
              </w:tabs>
              <w:spacing w:after="10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În acest context, transpunerea Directivei 2009/33/C</w:t>
            </w:r>
            <w:r w:rsidR="00823B22" w:rsidRPr="00DD57E3">
              <w:rPr>
                <w:rFonts w:ascii="Times New Roman" w:hAnsi="Times New Roman" w:cs="Times New Roman"/>
                <w:sz w:val="24"/>
                <w:szCs w:val="24"/>
                <w:lang w:val="ro-MD"/>
              </w:rPr>
              <w:t>E</w:t>
            </w:r>
            <w:r w:rsidRPr="00DD57E3">
              <w:rPr>
                <w:rFonts w:ascii="Times New Roman" w:hAnsi="Times New Roman" w:cs="Times New Roman"/>
                <w:sz w:val="24"/>
                <w:szCs w:val="24"/>
                <w:lang w:val="ro-MD"/>
              </w:rPr>
              <w:t xml:space="preserv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armonizarea legisla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iei na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ionale cu acquis-ul Uniunii Europene pe domeniul promovării vehiculelor de transport rutier nepoluante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eficiente</w:t>
            </w:r>
            <w:r w:rsidRPr="00DD57E3">
              <w:rPr>
                <w:rFonts w:ascii="Times New Roman" w:hAnsi="Times New Roman" w:cs="Times New Roman"/>
                <w:bCs/>
                <w:iCs/>
                <w:sz w:val="24"/>
                <w:szCs w:val="24"/>
                <w:lang w:val="ro-MD"/>
              </w:rPr>
              <w:t xml:space="preserve"> din punct de vedere energetic, </w:t>
            </w:r>
            <w:r w:rsidRPr="00DD57E3">
              <w:rPr>
                <w:rFonts w:ascii="Times New Roman" w:hAnsi="Times New Roman" w:cs="Times New Roman"/>
                <w:sz w:val="24"/>
                <w:szCs w:val="24"/>
                <w:lang w:val="ro-MD"/>
              </w:rPr>
              <w:t xml:space="preserve">este </w:t>
            </w:r>
            <w:r w:rsidR="00D31152" w:rsidRPr="00DD57E3">
              <w:rPr>
                <w:rFonts w:ascii="Times New Roman" w:hAnsi="Times New Roman" w:cs="Times New Roman"/>
                <w:sz w:val="24"/>
                <w:szCs w:val="24"/>
                <w:lang w:val="ro-MD"/>
              </w:rPr>
              <w:t xml:space="preserve">o </w:t>
            </w:r>
            <w:r w:rsidRPr="00DD57E3">
              <w:rPr>
                <w:rFonts w:ascii="Times New Roman" w:hAnsi="Times New Roman" w:cs="Times New Roman"/>
                <w:sz w:val="24"/>
                <w:szCs w:val="24"/>
                <w:lang w:val="ro-MD"/>
              </w:rPr>
              <w:t>priorit</w:t>
            </w:r>
            <w:r w:rsidR="00D31152" w:rsidRPr="00DD57E3">
              <w:rPr>
                <w:rFonts w:ascii="Times New Roman" w:hAnsi="Times New Roman" w:cs="Times New Roman"/>
                <w:sz w:val="24"/>
                <w:szCs w:val="24"/>
                <w:lang w:val="ro-MD"/>
              </w:rPr>
              <w:t>ate</w:t>
            </w:r>
            <w:r w:rsidRPr="00DD57E3">
              <w:rPr>
                <w:rFonts w:ascii="Times New Roman" w:hAnsi="Times New Roman" w:cs="Times New Roman"/>
                <w:sz w:val="24"/>
                <w:szCs w:val="24"/>
                <w:lang w:val="ro-MD"/>
              </w:rPr>
              <w:t xml:space="preserve"> întrucât</w:t>
            </w:r>
            <w:r w:rsidR="00D31152" w:rsidRPr="00DD57E3">
              <w:rPr>
                <w:rFonts w:ascii="Times New Roman" w:hAnsi="Times New Roman" w:cs="Times New Roman"/>
                <w:bCs/>
                <w:iCs/>
                <w:sz w:val="24"/>
                <w:szCs w:val="24"/>
                <w:lang w:val="ro-MD"/>
              </w:rPr>
              <w:t xml:space="preserve"> reprezintă o restan</w:t>
            </w:r>
            <w:r w:rsidR="00D84F0C" w:rsidRPr="00DD57E3">
              <w:rPr>
                <w:rFonts w:ascii="Times New Roman" w:hAnsi="Times New Roman" w:cs="Times New Roman"/>
                <w:bCs/>
                <w:iCs/>
                <w:sz w:val="24"/>
                <w:szCs w:val="24"/>
                <w:lang w:val="ro-MD"/>
              </w:rPr>
              <w:t>ț</w:t>
            </w:r>
            <w:r w:rsidR="00D31152" w:rsidRPr="00DD57E3">
              <w:rPr>
                <w:rFonts w:ascii="Times New Roman" w:hAnsi="Times New Roman" w:cs="Times New Roman"/>
                <w:bCs/>
                <w:iCs/>
                <w:sz w:val="24"/>
                <w:szCs w:val="24"/>
                <w:lang w:val="ro-MD"/>
              </w:rPr>
              <w:t>ă c</w:t>
            </w:r>
            <w:r w:rsidRPr="00DD57E3">
              <w:rPr>
                <w:rFonts w:ascii="Times New Roman" w:hAnsi="Times New Roman" w:cs="Times New Roman"/>
                <w:bCs/>
                <w:iCs/>
                <w:sz w:val="24"/>
                <w:szCs w:val="24"/>
                <w:lang w:val="ro-MD"/>
              </w:rPr>
              <w:t xml:space="preserve">e derivă din angajamentele asumate în </w:t>
            </w:r>
            <w:r w:rsidRPr="00DD57E3">
              <w:rPr>
                <w:rFonts w:ascii="Times New Roman" w:hAnsi="Times New Roman" w:cs="Times New Roman"/>
                <w:sz w:val="24"/>
                <w:szCs w:val="24"/>
                <w:lang w:val="ro-MD"/>
              </w:rPr>
              <w:t>cadrul Acordului de Aso</w:t>
            </w:r>
            <w:r w:rsidR="00D31152" w:rsidRPr="00DD57E3">
              <w:rPr>
                <w:rFonts w:ascii="Times New Roman" w:hAnsi="Times New Roman" w:cs="Times New Roman"/>
                <w:sz w:val="24"/>
                <w:szCs w:val="24"/>
                <w:lang w:val="ro-MD"/>
              </w:rPr>
              <w:t xml:space="preserve">ciere, fiind </w:t>
            </w:r>
            <w:r w:rsidRPr="00DD57E3">
              <w:rPr>
                <w:rFonts w:ascii="Times New Roman" w:hAnsi="Times New Roman" w:cs="Times New Roman"/>
                <w:sz w:val="24"/>
                <w:szCs w:val="24"/>
                <w:lang w:val="ro-MD"/>
              </w:rPr>
              <w:t xml:space="preserve">reflectată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în Planul na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ional de ac</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iuni pentru aderarea Republicii Moldova la Uniunea Europeană pe anii 2024-2027 (Capitolul 15, ac</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iunea 1</w:t>
            </w:r>
            <w:r w:rsidR="00A60534" w:rsidRPr="00DD57E3">
              <w:rPr>
                <w:rFonts w:ascii="Times New Roman" w:hAnsi="Times New Roman" w:cs="Times New Roman"/>
                <w:sz w:val="24"/>
                <w:szCs w:val="24"/>
                <w:lang w:val="ro-MD"/>
              </w:rPr>
              <w:t>9</w:t>
            </w:r>
            <w:r w:rsidRPr="00DD57E3">
              <w:rPr>
                <w:rFonts w:ascii="Times New Roman" w:hAnsi="Times New Roman" w:cs="Times New Roman"/>
                <w:sz w:val="24"/>
                <w:szCs w:val="24"/>
                <w:lang w:val="ro-MD"/>
              </w:rPr>
              <w:t xml:space="preserve">). </w:t>
            </w:r>
          </w:p>
          <w:p w14:paraId="34707B59" w14:textId="5F277C86" w:rsidR="00D91B9B" w:rsidRPr="00DD57E3" w:rsidRDefault="00D91B9B">
            <w:pPr>
              <w:tabs>
                <w:tab w:val="left" w:pos="241"/>
                <w:tab w:val="left" w:pos="315"/>
                <w:tab w:val="left" w:pos="599"/>
                <w:tab w:val="left" w:pos="922"/>
              </w:tabs>
              <w:spacing w:after="0" w:line="240" w:lineRule="auto"/>
              <w:ind w:right="43"/>
              <w:jc w:val="both"/>
              <w:rPr>
                <w:rFonts w:ascii="Times New Roman" w:hAnsi="Times New Roman" w:cs="Times New Roman"/>
                <w:bCs/>
                <w:iCs/>
                <w:sz w:val="24"/>
                <w:szCs w:val="24"/>
                <w:lang w:val="ro-MD"/>
              </w:rPr>
            </w:pPr>
            <w:r w:rsidRPr="00DD57E3">
              <w:rPr>
                <w:rFonts w:ascii="Times New Roman" w:hAnsi="Times New Roman" w:cs="Times New Roman"/>
                <w:sz w:val="24"/>
                <w:szCs w:val="24"/>
                <w:lang w:val="ro-MD"/>
              </w:rPr>
              <w:t>Raportul de extindere a UE pentru anul 2024</w:t>
            </w:r>
            <w:r w:rsidRPr="00DD57E3">
              <w:rPr>
                <w:vertAlign w:val="superscript"/>
                <w:lang w:val="ro-MD"/>
              </w:rPr>
              <w:footnoteReference w:id="6"/>
            </w:r>
            <w:r w:rsidRPr="00DD57E3">
              <w:rPr>
                <w:rFonts w:ascii="Times New Roman" w:hAnsi="Times New Roman" w:cs="Times New Roman"/>
                <w:sz w:val="24"/>
                <w:szCs w:val="24"/>
                <w:vertAlign w:val="superscript"/>
                <w:lang w:val="ro-MD"/>
              </w:rPr>
              <w:t xml:space="preserve"> </w:t>
            </w:r>
            <w:r w:rsidRPr="00DD57E3">
              <w:rPr>
                <w:rFonts w:ascii="Times New Roman" w:hAnsi="Times New Roman" w:cs="Times New Roman"/>
                <w:sz w:val="24"/>
                <w:szCs w:val="24"/>
                <w:lang w:val="ro-MD"/>
              </w:rPr>
              <w:t>întocmit ca urmare a evaluării realizate de către Comisia Europeană asupra nivelului de pregătire a Republicii Moldova pentru aderarea la UE, oferă o analiză detaliată a reformelor</w:t>
            </w:r>
            <w:r w:rsidRPr="00DD57E3">
              <w:rPr>
                <w:rFonts w:ascii="Times New Roman" w:hAnsi="Times New Roman" w:cs="Times New Roman"/>
                <w:bCs/>
                <w:iCs/>
                <w:sz w:val="24"/>
                <w:szCs w:val="24"/>
                <w:lang w:val="ro-MD"/>
              </w:rPr>
              <w:t xml:space="preserve"> implementate, progresele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provocările care urmează să fie depă</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ite pentru a avansa în procesul de integrare europeană. La Capitolul Agenda Verde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Conectivitatea sustenabilă (Cluster 4, Capitolul 14) este men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ionat, că Moldova are un anumit nivel de pregătire în politicile privind transportul, s-au înregistrat unele progrese în perioada de raportare, însă </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ara trebuie să continue alinierea la acquis-ul UE cu privire la toate modurile de transport,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să implementeze acquis-ul eficient. Printre ac</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iunile stabilite pentru următoarea perioadă de evaluare (anul 2025), sunt enumerate în mod special: </w:t>
            </w:r>
          </w:p>
          <w:p w14:paraId="5A38D5CE" w14:textId="3C7B7505" w:rsidR="00D91B9B" w:rsidRPr="00DD57E3" w:rsidRDefault="00D91B9B" w:rsidP="00D91B9B">
            <w:pPr>
              <w:pStyle w:val="a4"/>
              <w:numPr>
                <w:ilvl w:val="0"/>
                <w:numId w:val="9"/>
              </w:numPr>
              <w:tabs>
                <w:tab w:val="left" w:pos="241"/>
                <w:tab w:val="left" w:pos="315"/>
                <w:tab w:val="left" w:pos="599"/>
                <w:tab w:val="left" w:pos="922"/>
              </w:tabs>
              <w:spacing w:after="0" w:line="240" w:lineRule="auto"/>
              <w:ind w:right="43"/>
              <w:jc w:val="both"/>
              <w:rPr>
                <w:rFonts w:cs="Times New Roman"/>
                <w:bCs/>
                <w:iCs/>
                <w:szCs w:val="24"/>
                <w:lang w:val="ro-MD"/>
              </w:rPr>
            </w:pPr>
            <w:r w:rsidRPr="00DD57E3">
              <w:rPr>
                <w:rFonts w:cs="Times New Roman"/>
                <w:bCs/>
                <w:iCs/>
                <w:szCs w:val="24"/>
                <w:lang w:val="ro-MD"/>
              </w:rPr>
              <w:t xml:space="preserve">adoptarea regulilor sociale </w:t>
            </w:r>
            <w:r w:rsidR="00D84F0C" w:rsidRPr="00DD57E3">
              <w:rPr>
                <w:rFonts w:cs="Times New Roman"/>
                <w:bCs/>
                <w:iCs/>
                <w:szCs w:val="24"/>
                <w:lang w:val="ro-MD"/>
              </w:rPr>
              <w:t>ș</w:t>
            </w:r>
            <w:r w:rsidRPr="00DD57E3">
              <w:rPr>
                <w:rFonts w:cs="Times New Roman"/>
                <w:bCs/>
                <w:iCs/>
                <w:szCs w:val="24"/>
                <w:lang w:val="ro-MD"/>
              </w:rPr>
              <w:t>i de pia</w:t>
            </w:r>
            <w:r w:rsidR="00D84F0C" w:rsidRPr="00DD57E3">
              <w:rPr>
                <w:rFonts w:cs="Times New Roman"/>
                <w:bCs/>
                <w:iCs/>
                <w:szCs w:val="24"/>
                <w:lang w:val="ro-MD"/>
              </w:rPr>
              <w:t>ț</w:t>
            </w:r>
            <w:r w:rsidRPr="00DD57E3">
              <w:rPr>
                <w:rFonts w:cs="Times New Roman"/>
                <w:bCs/>
                <w:iCs/>
                <w:szCs w:val="24"/>
                <w:lang w:val="ro-MD"/>
              </w:rPr>
              <w:t>ă pentru transportul rutier;</w:t>
            </w:r>
          </w:p>
          <w:p w14:paraId="516F1CD2" w14:textId="60AF359E" w:rsidR="00D91B9B" w:rsidRPr="00DD57E3" w:rsidRDefault="00D91B9B" w:rsidP="00D91B9B">
            <w:pPr>
              <w:pStyle w:val="a4"/>
              <w:numPr>
                <w:ilvl w:val="0"/>
                <w:numId w:val="9"/>
              </w:numPr>
              <w:tabs>
                <w:tab w:val="left" w:pos="241"/>
                <w:tab w:val="left" w:pos="315"/>
                <w:tab w:val="left" w:pos="599"/>
                <w:tab w:val="left" w:pos="922"/>
              </w:tabs>
              <w:spacing w:after="0" w:line="240" w:lineRule="auto"/>
              <w:ind w:right="43"/>
              <w:jc w:val="both"/>
              <w:rPr>
                <w:rFonts w:cs="Times New Roman"/>
                <w:bCs/>
                <w:iCs/>
                <w:szCs w:val="24"/>
                <w:lang w:val="ro-MD"/>
              </w:rPr>
            </w:pPr>
            <w:r w:rsidRPr="00DD57E3">
              <w:rPr>
                <w:rFonts w:cs="Times New Roman"/>
                <w:bCs/>
                <w:iCs/>
                <w:szCs w:val="24"/>
                <w:lang w:val="ro-MD"/>
              </w:rPr>
              <w:t xml:space="preserve">dezvoltarea </w:t>
            </w:r>
            <w:r w:rsidR="00D84F0C" w:rsidRPr="00DD57E3">
              <w:rPr>
                <w:rFonts w:cs="Times New Roman"/>
                <w:bCs/>
                <w:iCs/>
                <w:szCs w:val="24"/>
                <w:lang w:val="ro-MD"/>
              </w:rPr>
              <w:t>ș</w:t>
            </w:r>
            <w:r w:rsidRPr="00DD57E3">
              <w:rPr>
                <w:rFonts w:cs="Times New Roman"/>
                <w:bCs/>
                <w:iCs/>
                <w:szCs w:val="24"/>
                <w:lang w:val="ro-MD"/>
              </w:rPr>
              <w:t>i adoptarea unei noi strategii de siguran</w:t>
            </w:r>
            <w:r w:rsidR="00D84F0C" w:rsidRPr="00DD57E3">
              <w:rPr>
                <w:rFonts w:cs="Times New Roman"/>
                <w:bCs/>
                <w:iCs/>
                <w:szCs w:val="24"/>
                <w:lang w:val="ro-MD"/>
              </w:rPr>
              <w:t>ț</w:t>
            </w:r>
            <w:r w:rsidRPr="00DD57E3">
              <w:rPr>
                <w:rFonts w:cs="Times New Roman"/>
                <w:bCs/>
                <w:iCs/>
                <w:szCs w:val="24"/>
                <w:lang w:val="ro-MD"/>
              </w:rPr>
              <w:t xml:space="preserve">ă rutieră bazată pe abordarea sistemului sigur. </w:t>
            </w:r>
          </w:p>
          <w:p w14:paraId="2EB18E17" w14:textId="5B47BEA4" w:rsidR="00D91B9B" w:rsidRPr="00DD57E3" w:rsidRDefault="00D91B9B">
            <w:pPr>
              <w:tabs>
                <w:tab w:val="left" w:pos="241"/>
                <w:tab w:val="left" w:pos="315"/>
                <w:tab w:val="left" w:pos="599"/>
                <w:tab w:val="left" w:pos="922"/>
              </w:tabs>
              <w:spacing w:before="100" w:after="10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Prin urmare, pentru înregistrarea progreselor Republicii Moldova în direc</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 aderării la Tratatul de Func</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ionare a Uniunii Europene, aceasta trebuie să demonstreze credibilitate în realizarea angajamentelor asumate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să accelereze reformele în domeniul decarbonizării sectorului transporturilor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să sporească nivelul de convergen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ă cu ac</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iunile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măsurile recomandate de către Comisia Europeană. </w:t>
            </w:r>
          </w:p>
          <w:p w14:paraId="6CA4CE1C" w14:textId="6B61CCDD" w:rsidR="00D91B9B" w:rsidRPr="00DD57E3" w:rsidRDefault="00D91B9B">
            <w:pPr>
              <w:tabs>
                <w:tab w:val="left" w:pos="241"/>
                <w:tab w:val="left" w:pos="315"/>
                <w:tab w:val="left" w:pos="599"/>
                <w:tab w:val="left" w:pos="922"/>
              </w:tabs>
              <w:spacing w:before="100" w:after="100" w:line="240" w:lineRule="auto"/>
              <w:ind w:right="43"/>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xml:space="preserve">Prevederile </w:t>
            </w:r>
            <w:r w:rsidRPr="00DD57E3">
              <w:rPr>
                <w:rFonts w:ascii="Times New Roman" w:hAnsi="Times New Roman" w:cs="Times New Roman"/>
                <w:b/>
                <w:bCs/>
                <w:iCs/>
                <w:sz w:val="24"/>
                <w:szCs w:val="24"/>
                <w:lang w:val="ro-MD"/>
              </w:rPr>
              <w:t>Directivei 2009/33/CE actualizată prin Directiva 2019/1161, au drept obiective</w:t>
            </w:r>
            <w:r w:rsidRPr="00DD57E3">
              <w:rPr>
                <w:rFonts w:ascii="Times New Roman" w:hAnsi="Times New Roman" w:cs="Times New Roman"/>
                <w:bCs/>
                <w:iCs/>
                <w:sz w:val="24"/>
                <w:szCs w:val="24"/>
                <w:lang w:val="ro-MD"/>
              </w:rPr>
              <w:t>:</w:t>
            </w:r>
          </w:p>
          <w:p w14:paraId="09840C80" w14:textId="0140EE73" w:rsidR="00D91B9B" w:rsidRPr="00DD57E3" w:rsidRDefault="00D91B9B">
            <w:pPr>
              <w:tabs>
                <w:tab w:val="left" w:pos="241"/>
                <w:tab w:val="left" w:pos="315"/>
                <w:tab w:val="left" w:pos="599"/>
                <w:tab w:val="left" w:pos="922"/>
              </w:tabs>
              <w:spacing w:after="0" w:line="240" w:lineRule="auto"/>
              <w:ind w:right="45"/>
              <w:jc w:val="both"/>
              <w:rPr>
                <w:rFonts w:ascii="Times New Roman" w:hAnsi="Times New Roman" w:cs="Times New Roman"/>
                <w:b/>
                <w:bCs/>
                <w:iCs/>
                <w:sz w:val="24"/>
                <w:szCs w:val="24"/>
                <w:lang w:val="ro-MD"/>
              </w:rPr>
            </w:pPr>
            <w:r w:rsidRPr="00DD57E3">
              <w:rPr>
                <w:rFonts w:ascii="Times New Roman" w:hAnsi="Times New Roman" w:cs="Times New Roman"/>
                <w:b/>
                <w:bCs/>
                <w:iCs/>
                <w:sz w:val="24"/>
                <w:szCs w:val="24"/>
                <w:lang w:val="ro-MD"/>
              </w:rPr>
              <w:t xml:space="preserve">- </w:t>
            </w:r>
            <w:r w:rsidR="0089454F" w:rsidRPr="00DD57E3">
              <w:rPr>
                <w:rFonts w:ascii="Times New Roman" w:hAnsi="Times New Roman" w:cs="Times New Roman"/>
                <w:b/>
                <w:bCs/>
                <w:iCs/>
                <w:sz w:val="24"/>
                <w:szCs w:val="24"/>
                <w:lang w:val="ro-MD"/>
              </w:rPr>
              <w:t>accelerarea decarbonizării</w:t>
            </w:r>
            <w:r w:rsidRPr="00DD57E3">
              <w:rPr>
                <w:rFonts w:ascii="Times New Roman" w:hAnsi="Times New Roman" w:cs="Times New Roman"/>
                <w:b/>
                <w:bCs/>
                <w:iCs/>
                <w:sz w:val="24"/>
                <w:szCs w:val="24"/>
                <w:lang w:val="ro-MD"/>
              </w:rPr>
              <w:t xml:space="preserve"> sectorul</w:t>
            </w:r>
            <w:r w:rsidR="00251B25" w:rsidRPr="00DD57E3">
              <w:rPr>
                <w:rFonts w:ascii="Times New Roman" w:hAnsi="Times New Roman" w:cs="Times New Roman"/>
                <w:b/>
                <w:bCs/>
                <w:iCs/>
                <w:sz w:val="24"/>
                <w:szCs w:val="24"/>
                <w:lang w:val="ro-MD"/>
              </w:rPr>
              <w:t>ui</w:t>
            </w:r>
            <w:r w:rsidRPr="00DD57E3">
              <w:rPr>
                <w:rFonts w:ascii="Times New Roman" w:hAnsi="Times New Roman" w:cs="Times New Roman"/>
                <w:b/>
                <w:bCs/>
                <w:iCs/>
                <w:sz w:val="24"/>
                <w:szCs w:val="24"/>
                <w:lang w:val="ro-MD"/>
              </w:rPr>
              <w:t xml:space="preserve"> </w:t>
            </w:r>
            <w:r w:rsidR="00723671" w:rsidRPr="00DD57E3">
              <w:rPr>
                <w:rFonts w:ascii="Times New Roman" w:hAnsi="Times New Roman" w:cs="Times New Roman"/>
                <w:b/>
                <w:bCs/>
                <w:iCs/>
                <w:sz w:val="24"/>
                <w:szCs w:val="24"/>
                <w:lang w:val="ro-MD"/>
              </w:rPr>
              <w:t>transporturilor</w:t>
            </w:r>
            <w:r w:rsidRPr="00DD57E3">
              <w:rPr>
                <w:rFonts w:ascii="Times New Roman" w:hAnsi="Times New Roman" w:cs="Times New Roman"/>
                <w:b/>
                <w:bCs/>
                <w:iCs/>
                <w:sz w:val="24"/>
                <w:szCs w:val="24"/>
                <w:lang w:val="ro-MD"/>
              </w:rPr>
              <w:t>;</w:t>
            </w:r>
          </w:p>
          <w:p w14:paraId="29E03596" w14:textId="473CD8CF" w:rsidR="00D91B9B" w:rsidRPr="00DD57E3" w:rsidRDefault="00D91B9B">
            <w:pPr>
              <w:tabs>
                <w:tab w:val="left" w:pos="241"/>
                <w:tab w:val="left" w:pos="315"/>
                <w:tab w:val="left" w:pos="599"/>
                <w:tab w:val="left" w:pos="922"/>
              </w:tabs>
              <w:spacing w:after="0" w:line="240" w:lineRule="auto"/>
              <w:ind w:right="45"/>
              <w:jc w:val="both"/>
              <w:rPr>
                <w:rFonts w:ascii="Times New Roman" w:hAnsi="Times New Roman" w:cs="Times New Roman"/>
                <w:b/>
                <w:bCs/>
                <w:iCs/>
                <w:sz w:val="24"/>
                <w:szCs w:val="24"/>
                <w:lang w:val="ro-MD"/>
              </w:rPr>
            </w:pPr>
            <w:r w:rsidRPr="00DD57E3">
              <w:rPr>
                <w:rFonts w:ascii="Times New Roman" w:hAnsi="Times New Roman" w:cs="Times New Roman"/>
                <w:b/>
                <w:bCs/>
                <w:iCs/>
                <w:sz w:val="24"/>
                <w:szCs w:val="24"/>
                <w:lang w:val="ro-MD"/>
              </w:rPr>
              <w:t xml:space="preserve">- </w:t>
            </w:r>
            <w:r w:rsidR="009A117F" w:rsidRPr="00DD57E3">
              <w:rPr>
                <w:rFonts w:ascii="Times New Roman" w:hAnsi="Times New Roman" w:cs="Times New Roman"/>
                <w:b/>
                <w:bCs/>
                <w:iCs/>
                <w:sz w:val="24"/>
                <w:szCs w:val="24"/>
                <w:lang w:val="ro-MD"/>
              </w:rPr>
              <w:t xml:space="preserve">promovarea </w:t>
            </w:r>
            <w:r w:rsidRPr="00DD57E3">
              <w:rPr>
                <w:rFonts w:ascii="Times New Roman" w:hAnsi="Times New Roman" w:cs="Times New Roman"/>
                <w:b/>
                <w:bCs/>
                <w:iCs/>
                <w:sz w:val="24"/>
                <w:szCs w:val="24"/>
                <w:lang w:val="ro-MD"/>
              </w:rPr>
              <w:t>eficien</w:t>
            </w:r>
            <w:r w:rsidR="00D84F0C" w:rsidRPr="00DD57E3">
              <w:rPr>
                <w:rFonts w:ascii="Times New Roman" w:hAnsi="Times New Roman" w:cs="Times New Roman"/>
                <w:b/>
                <w:bCs/>
                <w:iCs/>
                <w:sz w:val="24"/>
                <w:szCs w:val="24"/>
                <w:lang w:val="ro-MD"/>
              </w:rPr>
              <w:t>ț</w:t>
            </w:r>
            <w:r w:rsidRPr="00DD57E3">
              <w:rPr>
                <w:rFonts w:ascii="Times New Roman" w:hAnsi="Times New Roman" w:cs="Times New Roman"/>
                <w:b/>
                <w:bCs/>
                <w:iCs/>
                <w:sz w:val="24"/>
                <w:szCs w:val="24"/>
                <w:lang w:val="ro-MD"/>
              </w:rPr>
              <w:t xml:space="preserve">ei energetice a mijloacelor de transport, </w:t>
            </w:r>
          </w:p>
          <w:p w14:paraId="19747FFB" w14:textId="713704C3" w:rsidR="00D91B9B" w:rsidRPr="00DD57E3" w:rsidRDefault="00D91B9B">
            <w:pPr>
              <w:tabs>
                <w:tab w:val="left" w:pos="241"/>
                <w:tab w:val="left" w:pos="315"/>
                <w:tab w:val="left" w:pos="599"/>
                <w:tab w:val="left" w:pos="922"/>
              </w:tabs>
              <w:spacing w:line="240" w:lineRule="auto"/>
              <w:ind w:right="45"/>
              <w:jc w:val="both"/>
              <w:rPr>
                <w:rFonts w:ascii="Times New Roman" w:hAnsi="Times New Roman" w:cs="Times New Roman"/>
                <w:b/>
                <w:bCs/>
                <w:iCs/>
                <w:sz w:val="24"/>
                <w:szCs w:val="24"/>
                <w:lang w:val="ro-MD"/>
              </w:rPr>
            </w:pPr>
            <w:r w:rsidRPr="00DD57E3">
              <w:rPr>
                <w:rFonts w:ascii="Times New Roman" w:hAnsi="Times New Roman" w:cs="Times New Roman"/>
                <w:b/>
                <w:bCs/>
                <w:iCs/>
                <w:sz w:val="24"/>
                <w:szCs w:val="24"/>
                <w:lang w:val="ro-MD"/>
              </w:rPr>
              <w:t xml:space="preserve">- </w:t>
            </w:r>
            <w:r w:rsidR="00251B25" w:rsidRPr="00DD57E3">
              <w:rPr>
                <w:rFonts w:ascii="Times New Roman" w:hAnsi="Times New Roman" w:cs="Times New Roman"/>
                <w:b/>
                <w:bCs/>
                <w:iCs/>
                <w:sz w:val="24"/>
                <w:szCs w:val="24"/>
                <w:lang w:val="ro-MD"/>
              </w:rPr>
              <w:t xml:space="preserve">promovarea </w:t>
            </w:r>
            <w:r w:rsidR="00D84F0C" w:rsidRPr="00DD57E3">
              <w:rPr>
                <w:rFonts w:ascii="Times New Roman" w:hAnsi="Times New Roman" w:cs="Times New Roman"/>
                <w:b/>
                <w:bCs/>
                <w:iCs/>
                <w:sz w:val="24"/>
                <w:szCs w:val="24"/>
                <w:lang w:val="ro-MD"/>
              </w:rPr>
              <w:t>ș</w:t>
            </w:r>
            <w:r w:rsidR="00251B25" w:rsidRPr="00DD57E3">
              <w:rPr>
                <w:rFonts w:ascii="Times New Roman" w:hAnsi="Times New Roman" w:cs="Times New Roman"/>
                <w:b/>
                <w:bCs/>
                <w:iCs/>
                <w:sz w:val="24"/>
                <w:szCs w:val="24"/>
                <w:lang w:val="ro-MD"/>
              </w:rPr>
              <w:t>i stimularea pie</w:t>
            </w:r>
            <w:r w:rsidR="00D84F0C" w:rsidRPr="00DD57E3">
              <w:rPr>
                <w:rFonts w:ascii="Times New Roman" w:hAnsi="Times New Roman" w:cs="Times New Roman"/>
                <w:b/>
                <w:bCs/>
                <w:iCs/>
                <w:sz w:val="24"/>
                <w:szCs w:val="24"/>
                <w:lang w:val="ro-MD"/>
              </w:rPr>
              <w:t>ț</w:t>
            </w:r>
            <w:r w:rsidR="00251B25" w:rsidRPr="00DD57E3">
              <w:rPr>
                <w:rFonts w:ascii="Times New Roman" w:hAnsi="Times New Roman" w:cs="Times New Roman"/>
                <w:b/>
                <w:bCs/>
                <w:iCs/>
                <w:sz w:val="24"/>
                <w:szCs w:val="24"/>
                <w:lang w:val="ro-MD"/>
              </w:rPr>
              <w:t>ei</w:t>
            </w:r>
            <w:r w:rsidRPr="00DD57E3">
              <w:rPr>
                <w:rFonts w:ascii="Times New Roman" w:hAnsi="Times New Roman" w:cs="Times New Roman"/>
                <w:b/>
                <w:bCs/>
                <w:iCs/>
                <w:sz w:val="24"/>
                <w:szCs w:val="24"/>
                <w:lang w:val="ro-MD"/>
              </w:rPr>
              <w:t xml:space="preserve"> vehiculelor nepoluante prin intermediul procedurilor de achizi</w:t>
            </w:r>
            <w:r w:rsidR="00D84F0C" w:rsidRPr="00DD57E3">
              <w:rPr>
                <w:rFonts w:ascii="Times New Roman" w:hAnsi="Times New Roman" w:cs="Times New Roman"/>
                <w:b/>
                <w:bCs/>
                <w:iCs/>
                <w:sz w:val="24"/>
                <w:szCs w:val="24"/>
                <w:lang w:val="ro-MD"/>
              </w:rPr>
              <w:t>ț</w:t>
            </w:r>
            <w:r w:rsidRPr="00DD57E3">
              <w:rPr>
                <w:rFonts w:ascii="Times New Roman" w:hAnsi="Times New Roman" w:cs="Times New Roman"/>
                <w:b/>
                <w:bCs/>
                <w:iCs/>
                <w:sz w:val="24"/>
                <w:szCs w:val="24"/>
                <w:lang w:val="ro-MD"/>
              </w:rPr>
              <w:t xml:space="preserve">ii publice. </w:t>
            </w:r>
          </w:p>
          <w:p w14:paraId="255E7469" w14:textId="3E2F3721" w:rsidR="00D91B9B" w:rsidRPr="00DD57E3" w:rsidRDefault="00D91B9B" w:rsidP="00D91B9B">
            <w:pPr>
              <w:pStyle w:val="a4"/>
              <w:numPr>
                <w:ilvl w:val="0"/>
                <w:numId w:val="6"/>
              </w:numPr>
              <w:tabs>
                <w:tab w:val="left" w:pos="241"/>
                <w:tab w:val="left" w:pos="315"/>
                <w:tab w:val="left" w:pos="599"/>
                <w:tab w:val="left" w:pos="922"/>
              </w:tabs>
              <w:spacing w:after="120" w:line="240" w:lineRule="auto"/>
              <w:ind w:right="43" w:hanging="677"/>
              <w:jc w:val="both"/>
              <w:rPr>
                <w:rFonts w:cs="Times New Roman"/>
                <w:b/>
                <w:bCs/>
                <w:iCs/>
                <w:szCs w:val="24"/>
                <w:lang w:val="ro-MD"/>
              </w:rPr>
            </w:pPr>
            <w:r w:rsidRPr="00DD57E3">
              <w:rPr>
                <w:rFonts w:cs="Times New Roman"/>
                <w:b/>
                <w:bCs/>
                <w:i/>
                <w:iCs/>
                <w:szCs w:val="24"/>
                <w:lang w:val="ro-MD"/>
              </w:rPr>
              <w:t xml:space="preserve">Obiectivul de </w:t>
            </w:r>
            <w:r w:rsidR="00F2717F" w:rsidRPr="00DD57E3">
              <w:rPr>
                <w:rFonts w:cs="Times New Roman"/>
                <w:b/>
                <w:bCs/>
                <w:i/>
                <w:iCs/>
                <w:szCs w:val="24"/>
                <w:lang w:val="ro-MD"/>
              </w:rPr>
              <w:t>accelerare a decarbonizării</w:t>
            </w:r>
            <w:r w:rsidRPr="00DD57E3">
              <w:rPr>
                <w:rFonts w:cs="Times New Roman"/>
                <w:b/>
                <w:bCs/>
                <w:i/>
                <w:iCs/>
                <w:szCs w:val="24"/>
                <w:lang w:val="ro-MD"/>
              </w:rPr>
              <w:t xml:space="preserve"> sectorul</w:t>
            </w:r>
            <w:r w:rsidR="00F2717F" w:rsidRPr="00DD57E3">
              <w:rPr>
                <w:rFonts w:cs="Times New Roman"/>
                <w:b/>
                <w:bCs/>
                <w:i/>
                <w:iCs/>
                <w:szCs w:val="24"/>
                <w:lang w:val="ro-MD"/>
              </w:rPr>
              <w:t>ui</w:t>
            </w:r>
            <w:r w:rsidRPr="00DD57E3">
              <w:rPr>
                <w:rFonts w:cs="Times New Roman"/>
                <w:b/>
                <w:bCs/>
                <w:i/>
                <w:iCs/>
                <w:szCs w:val="24"/>
                <w:lang w:val="ro-MD"/>
              </w:rPr>
              <w:t xml:space="preserve"> transportu</w:t>
            </w:r>
            <w:r w:rsidR="00723671" w:rsidRPr="00DD57E3">
              <w:rPr>
                <w:rFonts w:cs="Times New Roman"/>
                <w:b/>
                <w:bCs/>
                <w:i/>
                <w:iCs/>
                <w:szCs w:val="24"/>
                <w:lang w:val="ro-MD"/>
              </w:rPr>
              <w:t>rilor</w:t>
            </w:r>
            <w:r w:rsidRPr="00DD57E3">
              <w:rPr>
                <w:rFonts w:cs="Times New Roman"/>
                <w:b/>
                <w:bCs/>
                <w:i/>
                <w:iCs/>
                <w:szCs w:val="24"/>
                <w:lang w:val="ro-MD"/>
              </w:rPr>
              <w:t xml:space="preserve"> </w:t>
            </w:r>
          </w:p>
          <w:p w14:paraId="33A4AAC6" w14:textId="367E5260" w:rsidR="00D91B9B" w:rsidRPr="00DD57E3" w:rsidRDefault="00D91B9B">
            <w:pPr>
              <w:tabs>
                <w:tab w:val="left" w:pos="241"/>
                <w:tab w:val="left" w:pos="315"/>
                <w:tab w:val="left" w:pos="599"/>
                <w:tab w:val="left" w:pos="922"/>
              </w:tabs>
              <w:spacing w:before="100" w:after="120" w:line="240" w:lineRule="auto"/>
              <w:ind w:right="43"/>
              <w:jc w:val="both"/>
              <w:rPr>
                <w:rFonts w:ascii="Times New Roman" w:hAnsi="Times New Roman" w:cs="Times New Roman"/>
                <w:bCs/>
                <w:iCs/>
                <w:sz w:val="24"/>
                <w:szCs w:val="24"/>
                <w:lang w:val="ro-MD"/>
              </w:rPr>
            </w:pPr>
            <w:r w:rsidRPr="00DD57E3">
              <w:rPr>
                <w:rFonts w:ascii="Times New Roman" w:hAnsi="Times New Roman" w:cs="Times New Roman"/>
                <w:bCs/>
                <w:sz w:val="24"/>
                <w:szCs w:val="24"/>
                <w:lang w:val="ro-MD"/>
              </w:rPr>
              <w:t>Sectorul transporturilor reprezintă unul dintre sectoarele cu cele mai mari emisii de gaze cu efect de seră, în care reducerea consumului de combustibil</w:t>
            </w:r>
            <w:r w:rsidR="00D31152" w:rsidRPr="00DD57E3">
              <w:rPr>
                <w:rFonts w:ascii="Times New Roman" w:hAnsi="Times New Roman" w:cs="Times New Roman"/>
                <w:bCs/>
                <w:sz w:val="24"/>
                <w:szCs w:val="24"/>
                <w:lang w:val="ro-MD"/>
              </w:rPr>
              <w:t>i fosili este o mare provocare.</w:t>
            </w:r>
            <w:r w:rsidRPr="00DD57E3">
              <w:rPr>
                <w:rFonts w:ascii="Times New Roman" w:hAnsi="Times New Roman" w:cs="Times New Roman"/>
                <w:bCs/>
                <w:sz w:val="24"/>
                <w:szCs w:val="24"/>
                <w:lang w:val="ro-MD"/>
              </w:rPr>
              <w:t xml:space="preserve"> </w:t>
            </w:r>
            <w:r w:rsidRPr="00DD57E3">
              <w:rPr>
                <w:rFonts w:ascii="Times New Roman" w:hAnsi="Times New Roman" w:cs="Times New Roman"/>
                <w:bCs/>
                <w:iCs/>
                <w:sz w:val="24"/>
                <w:szCs w:val="24"/>
                <w:lang w:val="ro-MD"/>
              </w:rPr>
              <w:t>Conform datelor statistice ale Biroului Na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ional de Statistică privind</w:t>
            </w:r>
            <w:r w:rsidRPr="00DD57E3">
              <w:rPr>
                <w:rFonts w:ascii="Times New Roman" w:hAnsi="Times New Roman" w:cs="Times New Roman"/>
                <w:bCs/>
                <w:i/>
                <w:sz w:val="24"/>
                <w:szCs w:val="24"/>
                <w:lang w:val="ro-MD"/>
              </w:rPr>
              <w:t xml:space="preserve"> Emisiile substan</w:t>
            </w:r>
            <w:r w:rsidR="00D84F0C" w:rsidRPr="00DD57E3">
              <w:rPr>
                <w:rFonts w:ascii="Times New Roman" w:hAnsi="Times New Roman" w:cs="Times New Roman"/>
                <w:bCs/>
                <w:i/>
                <w:sz w:val="24"/>
                <w:szCs w:val="24"/>
                <w:lang w:val="ro-MD"/>
              </w:rPr>
              <w:t>ț</w:t>
            </w:r>
            <w:r w:rsidRPr="00DD57E3">
              <w:rPr>
                <w:rFonts w:ascii="Times New Roman" w:hAnsi="Times New Roman" w:cs="Times New Roman"/>
                <w:bCs/>
                <w:i/>
                <w:sz w:val="24"/>
                <w:szCs w:val="24"/>
                <w:lang w:val="ro-MD"/>
              </w:rPr>
              <w:t>elor poluante în aerul atmosferic de la transportul auto</w:t>
            </w:r>
            <w:r w:rsidRPr="00DD57E3">
              <w:rPr>
                <w:rFonts w:ascii="Times New Roman" w:hAnsi="Times New Roman" w:cs="Times New Roman"/>
                <w:bCs/>
                <w:iCs/>
                <w:sz w:val="24"/>
                <w:szCs w:val="24"/>
                <w:vertAlign w:val="superscript"/>
                <w:lang w:val="ro-MD"/>
              </w:rPr>
              <w:footnoteReference w:id="7"/>
            </w:r>
            <w:r w:rsidRPr="00DD57E3">
              <w:rPr>
                <w:rFonts w:ascii="Times New Roman" w:hAnsi="Times New Roman" w:cs="Times New Roman"/>
                <w:bCs/>
                <w:iCs/>
                <w:sz w:val="24"/>
                <w:szCs w:val="24"/>
                <w:lang w:val="ro-MD"/>
              </w:rPr>
              <w:t>, în perioada 2010-2021 în Republica Moldova au fost emise în atmosferă de către transportul auto, în medie, cca 181,4 mii tone/an de substan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e poluante. Principalele emisii generate de sectorul de transport fiind: oxizi de </w:t>
            </w:r>
            <w:r w:rsidRPr="00DD57E3">
              <w:rPr>
                <w:rFonts w:ascii="Times New Roman" w:hAnsi="Times New Roman" w:cs="Times New Roman"/>
                <w:bCs/>
                <w:iCs/>
                <w:sz w:val="24"/>
                <w:szCs w:val="24"/>
                <w:lang w:val="ro-MD"/>
              </w:rPr>
              <w:lastRenderedPageBreak/>
              <w:t xml:space="preserve">carbon (cca. 130,3 mii tone/an în medie în perioada 2010-2021), dioxid de azot (cca. 20,0 mii tone/an în medie în perioada 2010-2021), dioxid de sulf (cca 5,3 mii tone/an în medie în perioada 2010-2021), hidrocarburi (cca 19,5 în medie în perioada), dar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metale grele (ex. plumb).</w:t>
            </w:r>
          </w:p>
          <w:p w14:paraId="4F384479" w14:textId="489CF39B" w:rsidR="00D91B9B" w:rsidRPr="00DD57E3" w:rsidRDefault="00D91B9B">
            <w:pPr>
              <w:tabs>
                <w:tab w:val="left" w:pos="241"/>
                <w:tab w:val="left" w:pos="315"/>
                <w:tab w:val="left" w:pos="599"/>
                <w:tab w:val="left" w:pos="922"/>
              </w:tabs>
              <w:spacing w:before="100" w:after="120" w:line="240" w:lineRule="auto"/>
              <w:ind w:right="43"/>
              <w:jc w:val="both"/>
              <w:rPr>
                <w:rFonts w:ascii="Times New Roman" w:hAnsi="Times New Roman" w:cs="Times New Roman"/>
                <w:bCs/>
                <w:iCs/>
                <w:sz w:val="24"/>
                <w:szCs w:val="24"/>
                <w:lang w:val="ro-MD"/>
              </w:rPr>
            </w:pPr>
            <w:r w:rsidRPr="00DD57E3">
              <w:rPr>
                <w:rFonts w:ascii="Times New Roman" w:hAnsi="Times New Roman" w:cs="Times New Roman"/>
                <w:sz w:val="24"/>
                <w:szCs w:val="24"/>
                <w:lang w:val="ro-MD"/>
              </w:rPr>
              <w:t>Tratatul de Func</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ionare a Uniunii Europene, pune în prim plan combaterea schimbărilor climatice.  Dezideratul UE este de a atinge neutralitatea climaterică până în anul 2050, iar unul dintre principalele obiective stabilite în acest sens fiind accelerarea decarbonizării sectorului transporturilor prin aplicarea de măsuri care să favorizeze tranzi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 spre preponderen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a transportului public</w:t>
            </w:r>
            <w:r w:rsidR="00D31152" w:rsidRPr="00DD57E3">
              <w:rPr>
                <w:rFonts w:ascii="Times New Roman" w:hAnsi="Times New Roman" w:cs="Times New Roman"/>
                <w:sz w:val="24"/>
                <w:szCs w:val="24"/>
                <w:lang w:val="ro-MD"/>
              </w:rPr>
              <w:t xml:space="preserv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promovarea vehiculelor </w:t>
            </w:r>
            <w:r w:rsidRPr="00DD57E3">
              <w:rPr>
                <w:rFonts w:ascii="Times New Roman" w:hAnsi="Times New Roman" w:cs="Times New Roman"/>
                <w:bCs/>
                <w:iCs/>
                <w:sz w:val="24"/>
                <w:szCs w:val="24"/>
                <w:lang w:val="ro-MD"/>
              </w:rPr>
              <w:t>nepoluante prin intermediul procedurilor de achizi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publice. Pentru a atinge obiectivul de a fi primul continent neutru din punct de vedere climatic până în 2050, UE î</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propune </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inta ambi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ioasă de</w:t>
            </w:r>
            <w:r w:rsidR="00FB1C47" w:rsidRPr="00DD57E3">
              <w:rPr>
                <w:rFonts w:ascii="Times New Roman" w:hAnsi="Times New Roman" w:cs="Times New Roman"/>
                <w:bCs/>
                <w:iCs/>
                <w:sz w:val="24"/>
                <w:szCs w:val="24"/>
                <w:lang w:val="ro-MD"/>
              </w:rPr>
              <w:t xml:space="preserve"> </w:t>
            </w:r>
            <w:r w:rsidRPr="00DD57E3">
              <w:rPr>
                <w:rFonts w:ascii="Times New Roman" w:hAnsi="Times New Roman" w:cs="Times New Roman"/>
                <w:bCs/>
                <w:iCs/>
                <w:sz w:val="24"/>
                <w:szCs w:val="24"/>
                <w:lang w:val="ro-MD"/>
              </w:rPr>
              <w:t>a</w:t>
            </w:r>
            <w:r w:rsidR="00FB1C47" w:rsidRPr="00DD57E3">
              <w:rPr>
                <w:rFonts w:ascii="Times New Roman" w:hAnsi="Times New Roman" w:cs="Times New Roman"/>
                <w:bCs/>
                <w:iCs/>
                <w:sz w:val="24"/>
                <w:szCs w:val="24"/>
                <w:lang w:val="ro-MD"/>
              </w:rPr>
              <w:t xml:space="preserve"> </w:t>
            </w:r>
            <w:r w:rsidRPr="00DD57E3">
              <w:rPr>
                <w:rFonts w:ascii="Times New Roman" w:hAnsi="Times New Roman" w:cs="Times New Roman"/>
                <w:bCs/>
                <w:iCs/>
                <w:sz w:val="24"/>
                <w:szCs w:val="24"/>
                <w:lang w:val="ro-MD"/>
              </w:rPr>
              <w:t>reduce cu 90%, până în 2050, emisiile de gaze cu efect de seră generate de sectorul transporturilor</w:t>
            </w:r>
            <w:r w:rsidRPr="00DD57E3">
              <w:rPr>
                <w:iCs/>
                <w:vertAlign w:val="superscript"/>
                <w:lang w:val="ro-MD"/>
              </w:rPr>
              <w:footnoteReference w:id="8"/>
            </w:r>
            <w:r w:rsidRPr="00DD57E3">
              <w:rPr>
                <w:rFonts w:ascii="Times New Roman" w:hAnsi="Times New Roman" w:cs="Times New Roman"/>
                <w:bCs/>
                <w:iCs/>
                <w:sz w:val="24"/>
                <w:szCs w:val="24"/>
                <w:lang w:val="ro-MD"/>
              </w:rPr>
              <w:t>.</w:t>
            </w:r>
          </w:p>
          <w:p w14:paraId="3CA7A7EE" w14:textId="77777777" w:rsidR="00D91B9B" w:rsidRPr="00DD57E3" w:rsidRDefault="00D91B9B">
            <w:pPr>
              <w:tabs>
                <w:tab w:val="left" w:pos="241"/>
                <w:tab w:val="left" w:pos="315"/>
                <w:tab w:val="left" w:pos="599"/>
                <w:tab w:val="left" w:pos="922"/>
              </w:tabs>
              <w:spacing w:before="100" w:after="100" w:line="240" w:lineRule="auto"/>
              <w:ind w:right="43"/>
              <w:jc w:val="both"/>
              <w:rPr>
                <w:rFonts w:ascii="Times New Roman" w:hAnsi="Times New Roman" w:cs="Times New Roman"/>
                <w:sz w:val="24"/>
                <w:szCs w:val="24"/>
                <w:lang w:val="ro-MD"/>
              </w:rPr>
            </w:pPr>
            <w:r w:rsidRPr="00DD57E3">
              <w:rPr>
                <w:rFonts w:ascii="Times New Roman" w:hAnsi="Times New Roman" w:cs="Times New Roman"/>
                <w:bCs/>
                <w:iCs/>
                <w:sz w:val="24"/>
                <w:szCs w:val="24"/>
                <w:lang w:val="ro-MD"/>
              </w:rPr>
              <w:t>Angajame</w:t>
            </w:r>
            <w:r w:rsidRPr="00DD57E3">
              <w:rPr>
                <w:rFonts w:ascii="Times New Roman" w:hAnsi="Times New Roman" w:cs="Times New Roman"/>
                <w:sz w:val="24"/>
                <w:szCs w:val="24"/>
                <w:lang w:val="ro-MD"/>
              </w:rPr>
              <w:t>ntele Republicii Moldova privind combaterea schimbărilor climaterice</w:t>
            </w:r>
            <w:r w:rsidRPr="00DD57E3">
              <w:rPr>
                <w:rFonts w:ascii="Times New Roman" w:hAnsi="Times New Roman" w:cs="Times New Roman"/>
                <w:bCs/>
                <w:sz w:val="24"/>
                <w:szCs w:val="24"/>
                <w:lang w:val="ro-MD"/>
              </w:rPr>
              <w:t>, reducerea emisiilor de gaze cu efect de seră</w:t>
            </w:r>
            <w:r w:rsidRPr="00DD57E3">
              <w:rPr>
                <w:rFonts w:ascii="Times New Roman" w:hAnsi="Times New Roman" w:cs="Times New Roman"/>
                <w:sz w:val="24"/>
                <w:szCs w:val="24"/>
                <w:lang w:val="ro-MD"/>
              </w:rPr>
              <w:t>, implicit prin decarbonizarea sectorului transporturilor, derivă inclusiv din:</w:t>
            </w:r>
          </w:p>
          <w:p w14:paraId="06E2245D" w14:textId="72A04EB8" w:rsidR="00D91B9B" w:rsidRPr="00DD57E3" w:rsidRDefault="00D91B9B" w:rsidP="00D91B9B">
            <w:pPr>
              <w:pStyle w:val="a4"/>
              <w:numPr>
                <w:ilvl w:val="0"/>
                <w:numId w:val="7"/>
              </w:numPr>
              <w:tabs>
                <w:tab w:val="left" w:pos="313"/>
                <w:tab w:val="left" w:pos="360"/>
              </w:tabs>
              <w:spacing w:before="60" w:after="0" w:line="240" w:lineRule="auto"/>
              <w:ind w:left="607" w:right="45" w:hanging="284"/>
              <w:jc w:val="both"/>
              <w:rPr>
                <w:rFonts w:cs="Times New Roman"/>
                <w:szCs w:val="24"/>
                <w:lang w:val="ro-MD"/>
              </w:rPr>
            </w:pPr>
            <w:r w:rsidRPr="00DD57E3">
              <w:rPr>
                <w:rFonts w:cs="Times New Roman"/>
                <w:i/>
                <w:szCs w:val="24"/>
                <w:lang w:val="ro-MD"/>
              </w:rPr>
              <w:t>Conven</w:t>
            </w:r>
            <w:r w:rsidR="00D84F0C" w:rsidRPr="00DD57E3">
              <w:rPr>
                <w:rFonts w:cs="Times New Roman"/>
                <w:i/>
                <w:szCs w:val="24"/>
                <w:lang w:val="ro-MD"/>
              </w:rPr>
              <w:t>ț</w:t>
            </w:r>
            <w:r w:rsidRPr="00DD57E3">
              <w:rPr>
                <w:rFonts w:cs="Times New Roman"/>
                <w:i/>
                <w:szCs w:val="24"/>
                <w:lang w:val="ro-MD"/>
              </w:rPr>
              <w:t>ia-cadru a</w:t>
            </w:r>
            <w:r w:rsidRPr="00DD57E3">
              <w:rPr>
                <w:rFonts w:cs="Times New Roman"/>
                <w:szCs w:val="24"/>
                <w:lang w:val="ro-MD"/>
              </w:rPr>
              <w:t xml:space="preserve"> </w:t>
            </w:r>
            <w:r w:rsidRPr="00DD57E3">
              <w:rPr>
                <w:rFonts w:cs="Times New Roman"/>
                <w:i/>
                <w:szCs w:val="24"/>
                <w:lang w:val="ro-MD"/>
              </w:rPr>
              <w:t>Organiza</w:t>
            </w:r>
            <w:r w:rsidR="00D84F0C" w:rsidRPr="00DD57E3">
              <w:rPr>
                <w:rFonts w:cs="Times New Roman"/>
                <w:i/>
                <w:szCs w:val="24"/>
                <w:lang w:val="ro-MD"/>
              </w:rPr>
              <w:t>ț</w:t>
            </w:r>
            <w:r w:rsidRPr="00DD57E3">
              <w:rPr>
                <w:rFonts w:cs="Times New Roman"/>
                <w:i/>
                <w:szCs w:val="24"/>
                <w:lang w:val="ro-MD"/>
              </w:rPr>
              <w:t>iei Na</w:t>
            </w:r>
            <w:r w:rsidR="00D84F0C" w:rsidRPr="00DD57E3">
              <w:rPr>
                <w:rFonts w:cs="Times New Roman"/>
                <w:i/>
                <w:szCs w:val="24"/>
                <w:lang w:val="ro-MD"/>
              </w:rPr>
              <w:t>ț</w:t>
            </w:r>
            <w:r w:rsidRPr="00DD57E3">
              <w:rPr>
                <w:rFonts w:cs="Times New Roman"/>
                <w:i/>
                <w:szCs w:val="24"/>
                <w:lang w:val="ro-MD"/>
              </w:rPr>
              <w:t>iunilor Unite cu privire la schimbarea climei adoptată la 9 mai 1992 (CCONUSC)</w:t>
            </w:r>
            <w:r w:rsidRPr="00DD57E3">
              <w:rPr>
                <w:rFonts w:cs="Times New Roman"/>
                <w:szCs w:val="24"/>
                <w:lang w:val="ro-MD"/>
              </w:rPr>
              <w:t xml:space="preserve">, ratificată prin Hotărârea Parlamentului nr. 404/1995, precum </w:t>
            </w:r>
            <w:r w:rsidR="00D84F0C" w:rsidRPr="00DD57E3">
              <w:rPr>
                <w:rFonts w:cs="Times New Roman"/>
                <w:szCs w:val="24"/>
                <w:lang w:val="ro-MD"/>
              </w:rPr>
              <w:t>ș</w:t>
            </w:r>
            <w:r w:rsidRPr="00DD57E3">
              <w:rPr>
                <w:rFonts w:cs="Times New Roman"/>
                <w:szCs w:val="24"/>
                <w:lang w:val="ro-MD"/>
              </w:rPr>
              <w:t>i</w:t>
            </w:r>
            <w:r w:rsidRPr="00DD57E3">
              <w:rPr>
                <w:rFonts w:cs="Times New Roman"/>
                <w:bCs/>
                <w:szCs w:val="24"/>
                <w:lang w:val="ro-MD"/>
              </w:rPr>
              <w:t xml:space="preserve"> la </w:t>
            </w:r>
            <w:r w:rsidRPr="00DD57E3">
              <w:rPr>
                <w:rFonts w:cs="Times New Roman"/>
                <w:szCs w:val="24"/>
                <w:lang w:val="ro-MD"/>
              </w:rPr>
              <w:t>Protocolul de la Kyoto (1997) la Conven</w:t>
            </w:r>
            <w:r w:rsidR="00D84F0C" w:rsidRPr="00DD57E3">
              <w:rPr>
                <w:rFonts w:cs="Times New Roman"/>
                <w:szCs w:val="24"/>
                <w:lang w:val="ro-MD"/>
              </w:rPr>
              <w:t>ț</w:t>
            </w:r>
            <w:r w:rsidRPr="00DD57E3">
              <w:rPr>
                <w:rFonts w:cs="Times New Roman"/>
                <w:szCs w:val="24"/>
                <w:lang w:val="ro-MD"/>
              </w:rPr>
              <w:t>ia-cadru a ONU cu privire la schimbarea climei, ratificat de Republica Moldova prin Legea nr. 29/2003;</w:t>
            </w:r>
          </w:p>
          <w:p w14:paraId="2C99C187" w14:textId="77777777" w:rsidR="00D91B9B" w:rsidRPr="00DD57E3" w:rsidRDefault="00D91B9B" w:rsidP="00D91B9B">
            <w:pPr>
              <w:pStyle w:val="a4"/>
              <w:numPr>
                <w:ilvl w:val="0"/>
                <w:numId w:val="7"/>
              </w:numPr>
              <w:tabs>
                <w:tab w:val="left" w:pos="241"/>
                <w:tab w:val="left" w:pos="315"/>
                <w:tab w:val="left" w:pos="922"/>
              </w:tabs>
              <w:spacing w:before="60" w:after="0" w:line="240" w:lineRule="auto"/>
              <w:ind w:left="607" w:right="45" w:hanging="284"/>
              <w:jc w:val="both"/>
              <w:rPr>
                <w:rFonts w:cs="Times New Roman"/>
                <w:szCs w:val="24"/>
                <w:lang w:val="ro-MD"/>
              </w:rPr>
            </w:pPr>
            <w:r w:rsidRPr="00DD57E3">
              <w:rPr>
                <w:rFonts w:cs="Times New Roman"/>
                <w:i/>
                <w:szCs w:val="24"/>
                <w:lang w:val="ro-MD"/>
              </w:rPr>
              <w:t>Acordul de la Paris</w:t>
            </w:r>
            <w:r w:rsidRPr="00DD57E3">
              <w:rPr>
                <w:rFonts w:cs="Times New Roman"/>
                <w:szCs w:val="24"/>
                <w:lang w:val="ro-MD"/>
              </w:rPr>
              <w:t xml:space="preserve"> din 21.09.2016, ratificat prin Legea nr. 78/2017; </w:t>
            </w:r>
          </w:p>
          <w:p w14:paraId="21A2254C" w14:textId="7EFC7F8A" w:rsidR="00D91B9B" w:rsidRPr="00DD57E3" w:rsidRDefault="00D91B9B" w:rsidP="00D91B9B">
            <w:pPr>
              <w:pStyle w:val="a4"/>
              <w:numPr>
                <w:ilvl w:val="0"/>
                <w:numId w:val="7"/>
              </w:numPr>
              <w:tabs>
                <w:tab w:val="left" w:pos="171"/>
                <w:tab w:val="left" w:pos="241"/>
                <w:tab w:val="left" w:pos="315"/>
                <w:tab w:val="left" w:pos="922"/>
              </w:tabs>
              <w:spacing w:before="60" w:after="0" w:line="240" w:lineRule="auto"/>
              <w:ind w:left="607" w:right="45" w:hanging="284"/>
              <w:jc w:val="both"/>
              <w:rPr>
                <w:rFonts w:cs="Times New Roman"/>
                <w:szCs w:val="24"/>
                <w:lang w:val="ro-MD"/>
              </w:rPr>
            </w:pPr>
            <w:r w:rsidRPr="00DD57E3">
              <w:rPr>
                <w:rFonts w:cs="Times New Roman"/>
                <w:i/>
                <w:szCs w:val="24"/>
                <w:lang w:val="ro-MD"/>
              </w:rPr>
              <w:t>Pactul Verde European</w:t>
            </w:r>
            <w:r w:rsidRPr="00DD57E3">
              <w:rPr>
                <w:rFonts w:cs="Times New Roman"/>
                <w:b/>
                <w:i/>
                <w:szCs w:val="24"/>
                <w:lang w:val="ro-MD"/>
              </w:rPr>
              <w:t>,</w:t>
            </w:r>
            <w:r w:rsidRPr="00DD57E3">
              <w:rPr>
                <w:rFonts w:cs="Times New Roman"/>
                <w:b/>
                <w:szCs w:val="24"/>
                <w:lang w:val="ro-MD"/>
              </w:rPr>
              <w:t xml:space="preserve"> </w:t>
            </w:r>
            <w:r w:rsidRPr="00DD57E3">
              <w:rPr>
                <w:rFonts w:cs="Times New Roman"/>
                <w:szCs w:val="24"/>
                <w:lang w:val="ro-MD"/>
              </w:rPr>
              <w:t xml:space="preserve">adoptat de Comisia Europeană la 11 decembrie 2019, care reprezintă o continuitate a angajamentelor asumate prin Acordul de la Paris </w:t>
            </w:r>
            <w:r w:rsidR="00D84F0C" w:rsidRPr="00DD57E3">
              <w:rPr>
                <w:rFonts w:cs="Times New Roman"/>
                <w:szCs w:val="24"/>
                <w:lang w:val="ro-MD"/>
              </w:rPr>
              <w:t>ș</w:t>
            </w:r>
            <w:r w:rsidRPr="00DD57E3">
              <w:rPr>
                <w:rFonts w:cs="Times New Roman"/>
                <w:szCs w:val="24"/>
                <w:lang w:val="ro-MD"/>
              </w:rPr>
              <w:t>i stabile</w:t>
            </w:r>
            <w:r w:rsidR="00D84F0C" w:rsidRPr="00DD57E3">
              <w:rPr>
                <w:rFonts w:cs="Times New Roman"/>
                <w:szCs w:val="24"/>
                <w:lang w:val="ro-MD"/>
              </w:rPr>
              <w:t>ș</w:t>
            </w:r>
            <w:r w:rsidRPr="00DD57E3">
              <w:rPr>
                <w:rFonts w:cs="Times New Roman"/>
                <w:szCs w:val="24"/>
                <w:lang w:val="ro-MD"/>
              </w:rPr>
              <w:t>te obiectivul ambi</w:t>
            </w:r>
            <w:r w:rsidR="00D84F0C" w:rsidRPr="00DD57E3">
              <w:rPr>
                <w:rFonts w:cs="Times New Roman"/>
                <w:szCs w:val="24"/>
                <w:lang w:val="ro-MD"/>
              </w:rPr>
              <w:t>ț</w:t>
            </w:r>
            <w:r w:rsidRPr="00DD57E3">
              <w:rPr>
                <w:rFonts w:cs="Times New Roman"/>
                <w:szCs w:val="24"/>
                <w:lang w:val="ro-MD"/>
              </w:rPr>
              <w:t>ios de neutralitate climaterică către anul 2050. Printre direc</w:t>
            </w:r>
            <w:r w:rsidR="00D84F0C" w:rsidRPr="00DD57E3">
              <w:rPr>
                <w:rFonts w:cs="Times New Roman"/>
                <w:szCs w:val="24"/>
                <w:lang w:val="ro-MD"/>
              </w:rPr>
              <w:t>ț</w:t>
            </w:r>
            <w:r w:rsidRPr="00DD57E3">
              <w:rPr>
                <w:rFonts w:cs="Times New Roman"/>
                <w:szCs w:val="24"/>
                <w:lang w:val="ro-MD"/>
              </w:rPr>
              <w:t>iile de ac</w:t>
            </w:r>
            <w:r w:rsidR="00D84F0C" w:rsidRPr="00DD57E3">
              <w:rPr>
                <w:rFonts w:cs="Times New Roman"/>
                <w:szCs w:val="24"/>
                <w:lang w:val="ro-MD"/>
              </w:rPr>
              <w:t>ț</w:t>
            </w:r>
            <w:r w:rsidRPr="00DD57E3">
              <w:rPr>
                <w:rFonts w:cs="Times New Roman"/>
                <w:szCs w:val="24"/>
                <w:lang w:val="ro-MD"/>
              </w:rPr>
              <w:t xml:space="preserve">iune ale </w:t>
            </w:r>
            <w:r w:rsidRPr="00DD57E3">
              <w:rPr>
                <w:rFonts w:cs="Times New Roman"/>
                <w:bCs/>
                <w:szCs w:val="24"/>
                <w:lang w:val="ro-MD"/>
              </w:rPr>
              <w:t xml:space="preserve">Pactului Verde European, sunt eliminarea poluării, decarbonizarea transporturilor </w:t>
            </w:r>
            <w:r w:rsidR="00D84F0C" w:rsidRPr="00DD57E3">
              <w:rPr>
                <w:rFonts w:cs="Times New Roman"/>
                <w:bCs/>
                <w:szCs w:val="24"/>
                <w:lang w:val="ro-MD"/>
              </w:rPr>
              <w:t>ș</w:t>
            </w:r>
            <w:r w:rsidRPr="00DD57E3">
              <w:rPr>
                <w:rFonts w:cs="Times New Roman"/>
                <w:bCs/>
                <w:szCs w:val="24"/>
                <w:lang w:val="ro-MD"/>
              </w:rPr>
              <w:t>i promovarea unei mobilită</w:t>
            </w:r>
            <w:r w:rsidR="00D84F0C" w:rsidRPr="00DD57E3">
              <w:rPr>
                <w:rFonts w:cs="Times New Roman"/>
                <w:bCs/>
                <w:szCs w:val="24"/>
                <w:lang w:val="ro-MD"/>
              </w:rPr>
              <w:t>ț</w:t>
            </w:r>
            <w:r w:rsidRPr="00DD57E3">
              <w:rPr>
                <w:rFonts w:cs="Times New Roman"/>
                <w:bCs/>
                <w:szCs w:val="24"/>
                <w:lang w:val="ro-MD"/>
              </w:rPr>
              <w:t>i sustenabilă prin mijloace de transport ecologice</w:t>
            </w:r>
            <w:r w:rsidRPr="00DD57E3">
              <w:rPr>
                <w:rFonts w:eastAsia="Times New Roman" w:cs="Times New Roman"/>
                <w:sz w:val="23"/>
                <w:szCs w:val="23"/>
                <w:lang w:val="ro-MD" w:eastAsia="en-GB"/>
              </w:rPr>
              <w:t xml:space="preserve">, </w:t>
            </w:r>
            <w:r w:rsidRPr="00DD57E3">
              <w:rPr>
                <w:rFonts w:cs="Times New Roman"/>
                <w:bCs/>
                <w:szCs w:val="24"/>
                <w:lang w:val="ro-MD"/>
              </w:rPr>
              <w:t>neutralitatea climatică a UE până în 2050</w:t>
            </w:r>
            <w:r w:rsidRPr="00DD57E3">
              <w:rPr>
                <w:rStyle w:val="ac"/>
                <w:rFonts w:cs="Times New Roman"/>
                <w:bCs/>
                <w:szCs w:val="24"/>
                <w:lang w:val="ro-MD"/>
              </w:rPr>
              <w:footnoteReference w:id="9"/>
            </w:r>
            <w:r w:rsidRPr="00DD57E3">
              <w:rPr>
                <w:rFonts w:cs="Times New Roman"/>
                <w:bCs/>
                <w:szCs w:val="24"/>
                <w:lang w:val="ro-MD"/>
              </w:rPr>
              <w:t>;</w:t>
            </w:r>
          </w:p>
          <w:p w14:paraId="647D9280" w14:textId="030A9597" w:rsidR="00D91B9B" w:rsidRPr="00DD57E3" w:rsidRDefault="00D91B9B" w:rsidP="00D91B9B">
            <w:pPr>
              <w:pStyle w:val="a4"/>
              <w:numPr>
                <w:ilvl w:val="0"/>
                <w:numId w:val="7"/>
              </w:numPr>
              <w:tabs>
                <w:tab w:val="left" w:pos="29"/>
                <w:tab w:val="left" w:pos="171"/>
                <w:tab w:val="left" w:pos="241"/>
                <w:tab w:val="left" w:pos="315"/>
              </w:tabs>
              <w:spacing w:before="60" w:after="60" w:line="240" w:lineRule="auto"/>
              <w:ind w:left="607" w:right="45" w:hanging="284"/>
              <w:jc w:val="both"/>
              <w:rPr>
                <w:rFonts w:cs="Times New Roman"/>
                <w:szCs w:val="24"/>
                <w:lang w:val="ro-MD"/>
              </w:rPr>
            </w:pPr>
            <w:r w:rsidRPr="00DD57E3">
              <w:rPr>
                <w:rFonts w:cs="Times New Roman"/>
                <w:i/>
                <w:szCs w:val="24"/>
                <w:lang w:val="ro-MD"/>
              </w:rPr>
              <w:t>Recomandarea Consiliului de Asociere UE - Republica Moldova nr. 1/2022 din 22 august 2022, care se referă la Programul de asociere UE - Republica Moldova</w:t>
            </w:r>
            <w:r w:rsidRPr="00DD57E3">
              <w:rPr>
                <w:rStyle w:val="ac"/>
                <w:rFonts w:cs="Times New Roman"/>
                <w:szCs w:val="24"/>
                <w:lang w:val="ro-MD"/>
              </w:rPr>
              <w:footnoteReference w:id="10"/>
            </w:r>
            <w:r w:rsidRPr="00DD57E3">
              <w:rPr>
                <w:rFonts w:cs="Times New Roman"/>
                <w:i/>
                <w:szCs w:val="24"/>
                <w:lang w:val="ro-MD"/>
              </w:rPr>
              <w:t xml:space="preserve">. </w:t>
            </w:r>
            <w:r w:rsidRPr="00DD57E3">
              <w:rPr>
                <w:rFonts w:cs="Times New Roman"/>
                <w:szCs w:val="24"/>
                <w:lang w:val="ro-MD"/>
              </w:rPr>
              <w:t>Potrivit pct. 16 a Recomandării, păr</w:t>
            </w:r>
            <w:r w:rsidR="00D84F0C" w:rsidRPr="00DD57E3">
              <w:rPr>
                <w:rFonts w:cs="Times New Roman"/>
                <w:szCs w:val="24"/>
                <w:lang w:val="ro-MD"/>
              </w:rPr>
              <w:t>ț</w:t>
            </w:r>
            <w:r w:rsidRPr="00DD57E3">
              <w:rPr>
                <w:rFonts w:cs="Times New Roman"/>
                <w:szCs w:val="24"/>
                <w:lang w:val="ro-MD"/>
              </w:rPr>
              <w:t>ile vor colabora pentru a asigura continuitatea punerii în aplicare a legisla</w:t>
            </w:r>
            <w:r w:rsidR="00D84F0C" w:rsidRPr="00DD57E3">
              <w:rPr>
                <w:rFonts w:cs="Times New Roman"/>
                <w:szCs w:val="24"/>
                <w:lang w:val="ro-MD"/>
              </w:rPr>
              <w:t>ț</w:t>
            </w:r>
            <w:r w:rsidRPr="00DD57E3">
              <w:rPr>
                <w:rFonts w:cs="Times New Roman"/>
                <w:szCs w:val="24"/>
                <w:lang w:val="ro-MD"/>
              </w:rPr>
              <w:t>iei UE men</w:t>
            </w:r>
            <w:r w:rsidR="00D84F0C" w:rsidRPr="00DD57E3">
              <w:rPr>
                <w:rFonts w:cs="Times New Roman"/>
                <w:szCs w:val="24"/>
                <w:lang w:val="ro-MD"/>
              </w:rPr>
              <w:t>ț</w:t>
            </w:r>
            <w:r w:rsidRPr="00DD57E3">
              <w:rPr>
                <w:rFonts w:cs="Times New Roman"/>
                <w:szCs w:val="24"/>
                <w:lang w:val="ro-MD"/>
              </w:rPr>
              <w:t>ionate în anexele la Acordul de Asociere, cu accent pe conectivitate, siguran</w:t>
            </w:r>
            <w:r w:rsidR="00D84F0C" w:rsidRPr="00DD57E3">
              <w:rPr>
                <w:rFonts w:cs="Times New Roman"/>
                <w:szCs w:val="24"/>
                <w:lang w:val="ro-MD"/>
              </w:rPr>
              <w:t>ț</w:t>
            </w:r>
            <w:r w:rsidRPr="00DD57E3">
              <w:rPr>
                <w:rFonts w:cs="Times New Roman"/>
                <w:szCs w:val="24"/>
                <w:lang w:val="ro-MD"/>
              </w:rPr>
              <w:t xml:space="preserve">ă rutieră </w:t>
            </w:r>
            <w:r w:rsidR="00D84F0C" w:rsidRPr="00DD57E3">
              <w:rPr>
                <w:rFonts w:cs="Times New Roman"/>
                <w:szCs w:val="24"/>
                <w:lang w:val="ro-MD"/>
              </w:rPr>
              <w:t>ș</w:t>
            </w:r>
            <w:r w:rsidRPr="00DD57E3">
              <w:rPr>
                <w:rFonts w:cs="Times New Roman"/>
                <w:szCs w:val="24"/>
                <w:lang w:val="ro-MD"/>
              </w:rPr>
              <w:t xml:space="preserve">i sisteme </w:t>
            </w:r>
            <w:r w:rsidRPr="00DD57E3">
              <w:rPr>
                <w:rFonts w:cs="Times New Roman"/>
                <w:bCs/>
                <w:szCs w:val="24"/>
                <w:lang w:val="ro-MD"/>
              </w:rPr>
              <w:t>de transport durabile. Printre activită</w:t>
            </w:r>
            <w:r w:rsidR="00D84F0C" w:rsidRPr="00DD57E3">
              <w:rPr>
                <w:rFonts w:cs="Times New Roman"/>
                <w:bCs/>
                <w:szCs w:val="24"/>
                <w:lang w:val="ro-MD"/>
              </w:rPr>
              <w:t>ț</w:t>
            </w:r>
            <w:r w:rsidRPr="00DD57E3">
              <w:rPr>
                <w:rFonts w:cs="Times New Roman"/>
                <w:bCs/>
                <w:szCs w:val="24"/>
                <w:lang w:val="ro-MD"/>
              </w:rPr>
              <w:t xml:space="preserve">ile în domeniul sistemelor de transport durabile se enumeră: </w:t>
            </w:r>
          </w:p>
          <w:p w14:paraId="406A13B0" w14:textId="4FFC030B" w:rsidR="00D91B9B" w:rsidRPr="00DD57E3" w:rsidRDefault="00D91B9B" w:rsidP="00D91B9B">
            <w:pPr>
              <w:pStyle w:val="a4"/>
              <w:numPr>
                <w:ilvl w:val="0"/>
                <w:numId w:val="5"/>
              </w:numPr>
              <w:tabs>
                <w:tab w:val="left" w:pos="315"/>
                <w:tab w:val="left" w:pos="455"/>
                <w:tab w:val="left" w:pos="599"/>
                <w:tab w:val="left" w:pos="922"/>
              </w:tabs>
              <w:spacing w:after="0" w:line="240" w:lineRule="auto"/>
              <w:ind w:right="45"/>
              <w:jc w:val="both"/>
              <w:rPr>
                <w:lang w:val="ro-MD"/>
              </w:rPr>
            </w:pPr>
            <w:r w:rsidRPr="00DD57E3">
              <w:rPr>
                <w:rFonts w:cs="Times New Roman"/>
                <w:bCs/>
                <w:szCs w:val="24"/>
                <w:lang w:val="ro-MD"/>
              </w:rPr>
              <w:t>îmbunătă</w:t>
            </w:r>
            <w:r w:rsidR="00D84F0C" w:rsidRPr="00DD57E3">
              <w:rPr>
                <w:rFonts w:cs="Times New Roman"/>
                <w:bCs/>
                <w:szCs w:val="24"/>
                <w:lang w:val="ro-MD"/>
              </w:rPr>
              <w:t>ț</w:t>
            </w:r>
            <w:r w:rsidRPr="00DD57E3">
              <w:rPr>
                <w:rFonts w:cs="Times New Roman"/>
                <w:bCs/>
                <w:szCs w:val="24"/>
                <w:lang w:val="ro-MD"/>
              </w:rPr>
              <w:t>irea mobilită</w:t>
            </w:r>
            <w:r w:rsidR="00D84F0C" w:rsidRPr="00DD57E3">
              <w:rPr>
                <w:rFonts w:cs="Times New Roman"/>
                <w:bCs/>
                <w:szCs w:val="24"/>
                <w:lang w:val="ro-MD"/>
              </w:rPr>
              <w:t>ț</w:t>
            </w:r>
            <w:r w:rsidRPr="00DD57E3">
              <w:rPr>
                <w:rFonts w:cs="Times New Roman"/>
                <w:bCs/>
                <w:szCs w:val="24"/>
                <w:lang w:val="ro-MD"/>
              </w:rPr>
              <w:t xml:space="preserve">ii urbane în vederea decarbonizării sectorului transporturilor </w:t>
            </w:r>
            <w:r w:rsidR="00D84F0C" w:rsidRPr="00DD57E3">
              <w:rPr>
                <w:rFonts w:cs="Times New Roman"/>
                <w:bCs/>
                <w:szCs w:val="24"/>
                <w:lang w:val="ro-MD"/>
              </w:rPr>
              <w:t>ș</w:t>
            </w:r>
            <w:r w:rsidRPr="00DD57E3">
              <w:rPr>
                <w:rFonts w:cs="Times New Roman"/>
                <w:bCs/>
                <w:szCs w:val="24"/>
                <w:lang w:val="ro-MD"/>
              </w:rPr>
              <w:t>i dezvoltarea unei  cooperări mai strânse în domeniul planificării mobilită</w:t>
            </w:r>
            <w:r w:rsidR="00D84F0C" w:rsidRPr="00DD57E3">
              <w:rPr>
                <w:rFonts w:cs="Times New Roman"/>
                <w:bCs/>
                <w:szCs w:val="24"/>
                <w:lang w:val="ro-MD"/>
              </w:rPr>
              <w:t>ț</w:t>
            </w:r>
            <w:r w:rsidRPr="00DD57E3">
              <w:rPr>
                <w:rFonts w:cs="Times New Roman"/>
                <w:bCs/>
                <w:szCs w:val="24"/>
                <w:lang w:val="ro-MD"/>
              </w:rPr>
              <w:t>ii urbane durabile</w:t>
            </w:r>
            <w:r w:rsidRPr="00DD57E3">
              <w:rPr>
                <w:rStyle w:val="ac"/>
                <w:rFonts w:cs="Times New Roman"/>
                <w:szCs w:val="24"/>
                <w:lang w:val="ro-MD"/>
              </w:rPr>
              <w:t>;</w:t>
            </w:r>
          </w:p>
          <w:p w14:paraId="408222F3" w14:textId="4A70F061" w:rsidR="00D91B9B" w:rsidRPr="00DD57E3" w:rsidRDefault="00D91B9B" w:rsidP="00D91B9B">
            <w:pPr>
              <w:pStyle w:val="a4"/>
              <w:numPr>
                <w:ilvl w:val="0"/>
                <w:numId w:val="5"/>
              </w:numPr>
              <w:tabs>
                <w:tab w:val="left" w:pos="315"/>
                <w:tab w:val="left" w:pos="455"/>
                <w:tab w:val="left" w:pos="599"/>
                <w:tab w:val="left" w:pos="922"/>
              </w:tabs>
              <w:spacing w:after="0" w:line="240" w:lineRule="auto"/>
              <w:ind w:right="45"/>
              <w:jc w:val="both"/>
              <w:rPr>
                <w:rFonts w:cs="Times New Roman"/>
                <w:szCs w:val="24"/>
                <w:lang w:val="ro-MD"/>
              </w:rPr>
            </w:pPr>
            <w:r w:rsidRPr="00DD57E3">
              <w:rPr>
                <w:rFonts w:cs="Times New Roman"/>
                <w:szCs w:val="24"/>
                <w:lang w:val="ro-MD"/>
              </w:rPr>
              <w:t xml:space="preserve">acordarea de sprijin pentru adoptarea de vehicule eficiente din punct de vedere energetic în vederea  reduceri poluării </w:t>
            </w:r>
            <w:r w:rsidR="00D84F0C" w:rsidRPr="00DD57E3">
              <w:rPr>
                <w:rFonts w:cs="Times New Roman"/>
                <w:szCs w:val="24"/>
                <w:lang w:val="ro-MD"/>
              </w:rPr>
              <w:t>ș</w:t>
            </w:r>
            <w:r w:rsidRPr="00DD57E3">
              <w:rPr>
                <w:rFonts w:cs="Times New Roman"/>
                <w:szCs w:val="24"/>
                <w:lang w:val="ro-MD"/>
              </w:rPr>
              <w:t>i a îmbunătă</w:t>
            </w:r>
            <w:r w:rsidR="00D84F0C" w:rsidRPr="00DD57E3">
              <w:rPr>
                <w:rFonts w:cs="Times New Roman"/>
                <w:szCs w:val="24"/>
                <w:lang w:val="ro-MD"/>
              </w:rPr>
              <w:t>ț</w:t>
            </w:r>
            <w:r w:rsidRPr="00DD57E3">
              <w:rPr>
                <w:rFonts w:cs="Times New Roman"/>
                <w:szCs w:val="24"/>
                <w:lang w:val="ro-MD"/>
              </w:rPr>
              <w:t>irii performan</w:t>
            </w:r>
            <w:r w:rsidR="00D84F0C" w:rsidRPr="00DD57E3">
              <w:rPr>
                <w:rFonts w:cs="Times New Roman"/>
                <w:szCs w:val="24"/>
                <w:lang w:val="ro-MD"/>
              </w:rPr>
              <w:t>ț</w:t>
            </w:r>
            <w:r w:rsidRPr="00DD57E3">
              <w:rPr>
                <w:rFonts w:cs="Times New Roman"/>
                <w:szCs w:val="24"/>
                <w:lang w:val="ro-MD"/>
              </w:rPr>
              <w:t>ei de mediu a sectorului transporturilor.</w:t>
            </w:r>
          </w:p>
          <w:p w14:paraId="06A1E344" w14:textId="683DDBB0" w:rsidR="00D31152" w:rsidRPr="00DD57E3" w:rsidRDefault="00D31152" w:rsidP="00AF7B71">
            <w:pPr>
              <w:tabs>
                <w:tab w:val="left" w:pos="200"/>
                <w:tab w:val="left" w:pos="455"/>
                <w:tab w:val="left" w:pos="599"/>
                <w:tab w:val="left" w:pos="922"/>
              </w:tabs>
              <w:spacing w:before="240" w:after="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În conformitate cu Hotărârea Guvernului nr. 953/2022 cu privire la aprobarea cadrului na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ional de monitorizare a implementării Agendei de Dezvoltare Durabilă 2030, se propune către orizontul de timp 2030:</w:t>
            </w:r>
          </w:p>
          <w:p w14:paraId="6F4AC13E" w14:textId="3BA6094A" w:rsidR="00D31152" w:rsidRPr="00DD57E3" w:rsidRDefault="00D31152" w:rsidP="00AF7B71">
            <w:pPr>
              <w:pStyle w:val="a4"/>
              <w:numPr>
                <w:ilvl w:val="0"/>
                <w:numId w:val="5"/>
              </w:numPr>
              <w:tabs>
                <w:tab w:val="left" w:pos="200"/>
                <w:tab w:val="left" w:pos="455"/>
                <w:tab w:val="left" w:pos="599"/>
                <w:tab w:val="left" w:pos="922"/>
              </w:tabs>
              <w:spacing w:after="0" w:line="240" w:lineRule="auto"/>
              <w:ind w:right="45"/>
              <w:jc w:val="both"/>
              <w:rPr>
                <w:rFonts w:cs="Times New Roman"/>
                <w:bCs/>
                <w:iCs/>
                <w:szCs w:val="24"/>
                <w:lang w:val="ro-MD"/>
              </w:rPr>
            </w:pPr>
            <w:r w:rsidRPr="00DD57E3">
              <w:rPr>
                <w:rFonts w:cs="Times New Roman"/>
                <w:bCs/>
                <w:iCs/>
                <w:szCs w:val="24"/>
                <w:lang w:val="ro-MD"/>
              </w:rPr>
              <w:t xml:space="preserve">asigurarea accesului la sisteme de transport sigure, echitabile, accesibile </w:t>
            </w:r>
            <w:r w:rsidR="00D84F0C" w:rsidRPr="00DD57E3">
              <w:rPr>
                <w:rFonts w:cs="Times New Roman"/>
                <w:bCs/>
                <w:iCs/>
                <w:szCs w:val="24"/>
                <w:lang w:val="ro-MD"/>
              </w:rPr>
              <w:t>ș</w:t>
            </w:r>
            <w:r w:rsidRPr="00DD57E3">
              <w:rPr>
                <w:rFonts w:cs="Times New Roman"/>
                <w:bCs/>
                <w:iCs/>
                <w:szCs w:val="24"/>
                <w:lang w:val="ro-MD"/>
              </w:rPr>
              <w:t>i durabile pentru to</w:t>
            </w:r>
            <w:r w:rsidR="00D84F0C" w:rsidRPr="00DD57E3">
              <w:rPr>
                <w:rFonts w:cs="Times New Roman"/>
                <w:bCs/>
                <w:iCs/>
                <w:szCs w:val="24"/>
                <w:lang w:val="ro-MD"/>
              </w:rPr>
              <w:t>ț</w:t>
            </w:r>
            <w:r w:rsidRPr="00DD57E3">
              <w:rPr>
                <w:rFonts w:cs="Times New Roman"/>
                <w:bCs/>
                <w:iCs/>
                <w:szCs w:val="24"/>
                <w:lang w:val="ro-MD"/>
              </w:rPr>
              <w:t>i, îmbunătă</w:t>
            </w:r>
            <w:r w:rsidR="00D84F0C" w:rsidRPr="00DD57E3">
              <w:rPr>
                <w:rFonts w:cs="Times New Roman"/>
                <w:bCs/>
                <w:iCs/>
                <w:szCs w:val="24"/>
                <w:lang w:val="ro-MD"/>
              </w:rPr>
              <w:t>ț</w:t>
            </w:r>
            <w:r w:rsidRPr="00DD57E3">
              <w:rPr>
                <w:rFonts w:cs="Times New Roman"/>
                <w:bCs/>
                <w:iCs/>
                <w:szCs w:val="24"/>
                <w:lang w:val="ro-MD"/>
              </w:rPr>
              <w:t>irea siguran</w:t>
            </w:r>
            <w:r w:rsidR="00D84F0C" w:rsidRPr="00DD57E3">
              <w:rPr>
                <w:rFonts w:cs="Times New Roman"/>
                <w:bCs/>
                <w:iCs/>
                <w:szCs w:val="24"/>
                <w:lang w:val="ro-MD"/>
              </w:rPr>
              <w:t>ț</w:t>
            </w:r>
            <w:r w:rsidRPr="00DD57E3">
              <w:rPr>
                <w:rFonts w:cs="Times New Roman"/>
                <w:bCs/>
                <w:iCs/>
                <w:szCs w:val="24"/>
                <w:lang w:val="ro-MD"/>
              </w:rPr>
              <w:t>ei rutiere, în special prin extinderea re</w:t>
            </w:r>
            <w:r w:rsidR="00D84F0C" w:rsidRPr="00DD57E3">
              <w:rPr>
                <w:rFonts w:cs="Times New Roman"/>
                <w:bCs/>
                <w:iCs/>
                <w:szCs w:val="24"/>
                <w:lang w:val="ro-MD"/>
              </w:rPr>
              <w:t>ț</w:t>
            </w:r>
            <w:r w:rsidRPr="00DD57E3">
              <w:rPr>
                <w:rFonts w:cs="Times New Roman"/>
                <w:bCs/>
                <w:iCs/>
                <w:szCs w:val="24"/>
                <w:lang w:val="ro-MD"/>
              </w:rPr>
              <w:t xml:space="preserve">elelor de transport public (ODD 11, </w:t>
            </w:r>
            <w:r w:rsidR="00D84F0C" w:rsidRPr="00DD57E3">
              <w:rPr>
                <w:rFonts w:cs="Times New Roman"/>
                <w:bCs/>
                <w:iCs/>
                <w:szCs w:val="24"/>
                <w:lang w:val="ro-MD"/>
              </w:rPr>
              <w:t>ț</w:t>
            </w:r>
            <w:r w:rsidRPr="00DD57E3">
              <w:rPr>
                <w:rFonts w:cs="Times New Roman"/>
                <w:bCs/>
                <w:iCs/>
                <w:szCs w:val="24"/>
                <w:lang w:val="ro-MD"/>
              </w:rPr>
              <w:t>inta 11.2);</w:t>
            </w:r>
          </w:p>
          <w:p w14:paraId="5B83A037" w14:textId="09938417" w:rsidR="00D91B9B" w:rsidRPr="00DD57E3" w:rsidRDefault="00D31152" w:rsidP="00D31152">
            <w:pPr>
              <w:pStyle w:val="a4"/>
              <w:numPr>
                <w:ilvl w:val="0"/>
                <w:numId w:val="5"/>
              </w:numPr>
              <w:tabs>
                <w:tab w:val="left" w:pos="200"/>
                <w:tab w:val="left" w:pos="455"/>
                <w:tab w:val="left" w:pos="599"/>
                <w:tab w:val="left" w:pos="922"/>
              </w:tabs>
              <w:spacing w:before="120" w:after="120" w:line="240" w:lineRule="auto"/>
              <w:ind w:left="922" w:right="43"/>
              <w:jc w:val="both"/>
              <w:rPr>
                <w:rFonts w:cs="Times New Roman"/>
                <w:bCs/>
                <w:iCs/>
                <w:szCs w:val="24"/>
                <w:lang w:val="ro-MD"/>
              </w:rPr>
            </w:pPr>
            <w:r w:rsidRPr="00DD57E3">
              <w:rPr>
                <w:rFonts w:cs="Times New Roman"/>
                <w:bCs/>
                <w:iCs/>
                <w:szCs w:val="24"/>
                <w:lang w:val="ro-MD"/>
              </w:rPr>
              <w:t>asigurarea rezilien</w:t>
            </w:r>
            <w:r w:rsidR="00D84F0C" w:rsidRPr="00DD57E3">
              <w:rPr>
                <w:rFonts w:cs="Times New Roman"/>
                <w:bCs/>
                <w:iCs/>
                <w:szCs w:val="24"/>
                <w:lang w:val="ro-MD"/>
              </w:rPr>
              <w:t>ț</w:t>
            </w:r>
            <w:r w:rsidRPr="00DD57E3">
              <w:rPr>
                <w:rFonts w:cs="Times New Roman"/>
                <w:bCs/>
                <w:iCs/>
                <w:szCs w:val="24"/>
                <w:lang w:val="ro-MD"/>
              </w:rPr>
              <w:t xml:space="preserve">ei climatice prin reducerea cu 50% a riscurilor legate de schimbările climatice </w:t>
            </w:r>
            <w:r w:rsidR="00D84F0C" w:rsidRPr="00DD57E3">
              <w:rPr>
                <w:rFonts w:cs="Times New Roman"/>
                <w:bCs/>
                <w:iCs/>
                <w:szCs w:val="24"/>
                <w:lang w:val="ro-MD"/>
              </w:rPr>
              <w:t>ș</w:t>
            </w:r>
            <w:r w:rsidRPr="00DD57E3">
              <w:rPr>
                <w:rFonts w:cs="Times New Roman"/>
                <w:bCs/>
                <w:iCs/>
                <w:szCs w:val="24"/>
                <w:lang w:val="ro-MD"/>
              </w:rPr>
              <w:t xml:space="preserve">i prin facilitarea adaptării în 6 sectoare prioritare, printre care sectorul transporturilor (ODD 13, </w:t>
            </w:r>
            <w:r w:rsidR="00D84F0C" w:rsidRPr="00DD57E3">
              <w:rPr>
                <w:rFonts w:cs="Times New Roman"/>
                <w:bCs/>
                <w:iCs/>
                <w:szCs w:val="24"/>
                <w:lang w:val="ro-MD"/>
              </w:rPr>
              <w:t>ț</w:t>
            </w:r>
            <w:r w:rsidRPr="00DD57E3">
              <w:rPr>
                <w:rFonts w:cs="Times New Roman"/>
                <w:bCs/>
                <w:iCs/>
                <w:szCs w:val="24"/>
                <w:lang w:val="ro-MD"/>
              </w:rPr>
              <w:t xml:space="preserve">inta 13.1). </w:t>
            </w:r>
          </w:p>
          <w:p w14:paraId="169A8CE0" w14:textId="0D9146EB" w:rsidR="003C1102" w:rsidRPr="00DD57E3" w:rsidRDefault="00455A14" w:rsidP="003C1102">
            <w:pPr>
              <w:tabs>
                <w:tab w:val="left" w:pos="241"/>
                <w:tab w:val="left" w:pos="315"/>
                <w:tab w:val="left" w:pos="599"/>
                <w:tab w:val="left" w:pos="922"/>
              </w:tabs>
              <w:spacing w:before="120" w:after="0" w:line="240" w:lineRule="auto"/>
              <w:ind w:right="45"/>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Planul național integrat privind energia și clima pentru perioada 2025-2030 (PNIEC), aprobat prin Hotărârea Guvernului nr. 86/2025, stabil</w:t>
            </w:r>
            <w:r w:rsidR="00A8515D" w:rsidRPr="00DD57E3">
              <w:rPr>
                <w:rFonts w:ascii="Times New Roman" w:hAnsi="Times New Roman" w:cs="Times New Roman"/>
                <w:sz w:val="24"/>
                <w:szCs w:val="24"/>
                <w:lang w:val="ro-MD"/>
              </w:rPr>
              <w:t>ește printre obiectivele-cheie și măsurile de politici (tabelul 1), pe dimensiunea de „Decarbonizare”</w:t>
            </w:r>
            <w:r w:rsidR="00A8515D" w:rsidRPr="00DD57E3">
              <w:rPr>
                <w:rFonts w:ascii="Times New Roman" w:hAnsi="Times New Roman" w:cs="Times New Roman"/>
                <w:noProof/>
                <w:sz w:val="16"/>
                <w:lang w:val="ro-MD"/>
              </w:rPr>
              <w:t>:</w:t>
            </w:r>
            <w:r w:rsidR="00A8515D" w:rsidRPr="00DD57E3">
              <w:rPr>
                <w:rFonts w:ascii="Times New Roman" w:hAnsi="Times New Roman" w:cs="Times New Roman"/>
                <w:noProof/>
                <w:sz w:val="24"/>
                <w:szCs w:val="24"/>
                <w:lang w:val="ro-MD"/>
              </w:rPr>
              <w:t xml:space="preserve"> „</w:t>
            </w:r>
            <w:r w:rsidR="00A8515D" w:rsidRPr="00DD57E3">
              <w:rPr>
                <w:rFonts w:ascii="Times New Roman" w:hAnsi="Times New Roman" w:cs="Times New Roman"/>
                <w:i/>
                <w:sz w:val="24"/>
                <w:szCs w:val="24"/>
                <w:lang w:val="ro-MD"/>
              </w:rPr>
              <w:t>Promovarea biocombustibililor și a biolichidelor pentru asigurarea creșterii consumului de energie din surse regenerabile în sectorul transporturilor</w:t>
            </w:r>
            <w:r w:rsidR="003C1102" w:rsidRPr="00DD57E3">
              <w:rPr>
                <w:rFonts w:ascii="Times New Roman" w:hAnsi="Times New Roman" w:cs="Times New Roman"/>
                <w:i/>
                <w:sz w:val="24"/>
                <w:szCs w:val="24"/>
                <w:lang w:val="ro-MD"/>
              </w:rPr>
              <w:t xml:space="preserve"> (PM_DC27)</w:t>
            </w:r>
            <w:r w:rsidR="00A8515D" w:rsidRPr="00DD57E3">
              <w:rPr>
                <w:rFonts w:ascii="Times New Roman" w:hAnsi="Times New Roman" w:cs="Times New Roman"/>
                <w:sz w:val="24"/>
                <w:szCs w:val="24"/>
                <w:lang w:val="ro-MD"/>
              </w:rPr>
              <w:t xml:space="preserve">”, iar în </w:t>
            </w:r>
            <w:r w:rsidRPr="00DD57E3">
              <w:rPr>
                <w:rFonts w:ascii="Times New Roman" w:hAnsi="Times New Roman" w:cs="Times New Roman"/>
                <w:sz w:val="24"/>
                <w:szCs w:val="24"/>
                <w:lang w:val="ro-MD"/>
              </w:rPr>
              <w:t>Tabelul recapitulativ cu principalele obiective, politici și măsuri ale PNIEC</w:t>
            </w:r>
            <w:r w:rsidR="00A8515D" w:rsidRPr="00DD57E3">
              <w:rPr>
                <w:rFonts w:ascii="Times New Roman" w:hAnsi="Times New Roman" w:cs="Times New Roman"/>
                <w:sz w:val="24"/>
                <w:szCs w:val="24"/>
                <w:lang w:val="ro-MD"/>
              </w:rPr>
              <w:t xml:space="preserve"> (tabelul nr. 3)</w:t>
            </w:r>
            <w:r w:rsidRPr="00DD57E3">
              <w:rPr>
                <w:rFonts w:ascii="Times New Roman" w:hAnsi="Times New Roman" w:cs="Times New Roman"/>
                <w:sz w:val="24"/>
                <w:szCs w:val="24"/>
                <w:lang w:val="ro-MD"/>
              </w:rPr>
              <w:t xml:space="preserve">, pe dimensiunea </w:t>
            </w:r>
            <w:r w:rsidR="00A8515D" w:rsidRPr="00DD57E3">
              <w:rPr>
                <w:rFonts w:ascii="Times New Roman" w:hAnsi="Times New Roman" w:cs="Times New Roman"/>
                <w:sz w:val="24"/>
                <w:szCs w:val="24"/>
                <w:lang w:val="ro-MD"/>
              </w:rPr>
              <w:t>respectivă</w:t>
            </w:r>
            <w:r w:rsidRPr="00DD57E3">
              <w:rPr>
                <w:rFonts w:ascii="Times New Roman" w:hAnsi="Times New Roman" w:cs="Times New Roman"/>
                <w:sz w:val="24"/>
                <w:szCs w:val="24"/>
                <w:lang w:val="ro-MD"/>
              </w:rPr>
              <w:t xml:space="preserve">, </w:t>
            </w:r>
            <w:r w:rsidR="00A8515D" w:rsidRPr="00DD57E3">
              <w:rPr>
                <w:rFonts w:ascii="Times New Roman" w:hAnsi="Times New Roman" w:cs="Times New Roman"/>
                <w:sz w:val="24"/>
                <w:szCs w:val="24"/>
                <w:lang w:val="ro-MD"/>
              </w:rPr>
              <w:t>este prevăzut drept obiectiv</w:t>
            </w:r>
            <w:r w:rsidRPr="00DD57E3">
              <w:rPr>
                <w:rFonts w:ascii="Times New Roman" w:hAnsi="Times New Roman" w:cs="Times New Roman"/>
                <w:sz w:val="24"/>
                <w:szCs w:val="24"/>
                <w:lang w:val="ro-MD"/>
              </w:rPr>
              <w:t xml:space="preserve"> principal: „</w:t>
            </w:r>
            <w:r w:rsidRPr="00DD57E3">
              <w:rPr>
                <w:rFonts w:ascii="Times New Roman" w:hAnsi="Times New Roman" w:cs="Times New Roman"/>
                <w:i/>
                <w:sz w:val="24"/>
                <w:szCs w:val="24"/>
                <w:lang w:val="ro-MD"/>
              </w:rPr>
              <w:t>SER-T: 6,9% în consumul de combustibili în sectorul transporturilor, până în 2030, ca urmare a electrificării transporturilor, a creșterii utilizării biocombustibililor până la 7,6% și a numărului de vehicule electrice etc”</w:t>
            </w:r>
            <w:r w:rsidRPr="00DD57E3">
              <w:rPr>
                <w:rFonts w:ascii="Times New Roman" w:hAnsi="Times New Roman" w:cs="Times New Roman"/>
                <w:sz w:val="24"/>
                <w:szCs w:val="24"/>
                <w:lang w:val="ro-MD"/>
              </w:rPr>
              <w:t xml:space="preserve">. </w:t>
            </w:r>
          </w:p>
          <w:p w14:paraId="1893B390" w14:textId="4CFBC612" w:rsidR="00D31152" w:rsidRPr="00DD57E3" w:rsidRDefault="003C1102" w:rsidP="003C1102">
            <w:pPr>
              <w:tabs>
                <w:tab w:val="left" w:pos="241"/>
                <w:tab w:val="left" w:pos="315"/>
                <w:tab w:val="left" w:pos="599"/>
                <w:tab w:val="left" w:pos="922"/>
              </w:tabs>
              <w:spacing w:before="120" w:after="0" w:line="240" w:lineRule="auto"/>
              <w:ind w:right="45"/>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lastRenderedPageBreak/>
              <w:t>De asemenea, p</w:t>
            </w:r>
            <w:r w:rsidR="00455A14" w:rsidRPr="00DD57E3">
              <w:rPr>
                <w:rFonts w:ascii="Times New Roman" w:hAnsi="Times New Roman" w:cs="Times New Roman"/>
                <w:sz w:val="24"/>
                <w:szCs w:val="24"/>
                <w:lang w:val="ro-MD"/>
              </w:rPr>
              <w:t xml:space="preserve">rogramul de dezvoltare cu emisii reduse al Republicii Moldova până în 2030, aprobat prin Hotărârea Guvernului nr. 659/2023, stabilește drept obiectiv specific pentru sectorul transporturilor, reducerea emisiilor de GES cu 52%/55% în 2030 față de perioada de referință 1990. </w:t>
            </w:r>
          </w:p>
          <w:p w14:paraId="63A632F3" w14:textId="3CB84119" w:rsidR="00D91B9B" w:rsidRPr="00DD57E3" w:rsidRDefault="00D91B9B" w:rsidP="00D91B9B">
            <w:pPr>
              <w:pStyle w:val="a4"/>
              <w:numPr>
                <w:ilvl w:val="0"/>
                <w:numId w:val="6"/>
              </w:numPr>
              <w:tabs>
                <w:tab w:val="left" w:pos="241"/>
                <w:tab w:val="left" w:pos="315"/>
                <w:tab w:val="left" w:pos="599"/>
                <w:tab w:val="left" w:pos="922"/>
              </w:tabs>
              <w:spacing w:before="240" w:after="120" w:line="240" w:lineRule="auto"/>
              <w:ind w:left="714" w:right="45" w:hanging="714"/>
              <w:jc w:val="both"/>
              <w:rPr>
                <w:rFonts w:cs="Times New Roman"/>
                <w:bCs/>
                <w:iCs/>
                <w:szCs w:val="24"/>
                <w:lang w:val="ro-MD"/>
              </w:rPr>
            </w:pPr>
            <w:r w:rsidRPr="00DD57E3">
              <w:rPr>
                <w:rFonts w:cs="Times New Roman"/>
                <w:b/>
                <w:bCs/>
                <w:i/>
                <w:iCs/>
                <w:szCs w:val="24"/>
                <w:lang w:val="ro-MD"/>
              </w:rPr>
              <w:t>Obiectivul promovării eficien</w:t>
            </w:r>
            <w:r w:rsidR="00D84F0C" w:rsidRPr="00DD57E3">
              <w:rPr>
                <w:rFonts w:cs="Times New Roman"/>
                <w:b/>
                <w:bCs/>
                <w:i/>
                <w:iCs/>
                <w:szCs w:val="24"/>
                <w:lang w:val="ro-MD"/>
              </w:rPr>
              <w:t>ț</w:t>
            </w:r>
            <w:r w:rsidRPr="00DD57E3">
              <w:rPr>
                <w:rFonts w:cs="Times New Roman"/>
                <w:b/>
                <w:bCs/>
                <w:i/>
                <w:iCs/>
                <w:szCs w:val="24"/>
                <w:lang w:val="ro-MD"/>
              </w:rPr>
              <w:t>ei energetice a mijloacelor de transport</w:t>
            </w:r>
            <w:r w:rsidRPr="00DD57E3">
              <w:rPr>
                <w:rFonts w:cs="Times New Roman"/>
                <w:szCs w:val="24"/>
                <w:lang w:val="ro-MD"/>
              </w:rPr>
              <w:t xml:space="preserve"> </w:t>
            </w:r>
          </w:p>
          <w:p w14:paraId="79FD6D5D" w14:textId="5F2CC52F" w:rsidR="00D91B9B" w:rsidRPr="00DD57E3" w:rsidRDefault="00D91B9B">
            <w:pPr>
              <w:tabs>
                <w:tab w:val="left" w:pos="241"/>
                <w:tab w:val="left" w:pos="315"/>
                <w:tab w:val="left" w:pos="599"/>
                <w:tab w:val="left" w:pos="922"/>
              </w:tabs>
              <w:spacing w:before="120" w:after="0" w:line="240" w:lineRule="auto"/>
              <w:ind w:right="45"/>
              <w:jc w:val="both"/>
              <w:rPr>
                <w:rFonts w:ascii="Times New Roman" w:hAnsi="Times New Roman" w:cs="Times New Roman"/>
                <w:bCs/>
                <w:i/>
                <w:sz w:val="24"/>
                <w:szCs w:val="24"/>
                <w:lang w:val="ro-MD"/>
              </w:rPr>
            </w:pPr>
            <w:r w:rsidRPr="00DD57E3">
              <w:rPr>
                <w:rFonts w:ascii="Times New Roman" w:hAnsi="Times New Roman" w:cs="Times New Roman"/>
                <w:sz w:val="24"/>
                <w:szCs w:val="24"/>
                <w:lang w:val="ro-MD"/>
              </w:rPr>
              <w:t>Accelerarea armonizării legisla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iei na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ionale cu acquis-ul Uniunii Europene în materie de eficien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ă energetică în sectorul transporturilor este o prioritate, fiind unul dintre sectoarele cu cea mai mare intensitate a consumului energetic. Intensitatea energetică reprezintă indicatorul de eficien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ă energetică, calculat în func</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ie de consumul brut de energie pe unitate de produs intern brut. Intensitatea energetică în Republica Moldova este de 3,4 ori mai mare decât intensitatea energetică medie a </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ărilor UE, ceea ce indică necesitatea implementării unor măsuri concrete în sectoarele-cheie cu consum sporit de energie, precum sectorul transportului. </w:t>
            </w:r>
          </w:p>
          <w:p w14:paraId="0A5987DE" w14:textId="6647FAAE" w:rsidR="00D91B9B" w:rsidRPr="00DD57E3" w:rsidRDefault="00D91B9B">
            <w:pPr>
              <w:tabs>
                <w:tab w:val="left" w:pos="241"/>
                <w:tab w:val="left" w:pos="315"/>
                <w:tab w:val="left" w:pos="599"/>
                <w:tab w:val="left" w:pos="922"/>
              </w:tabs>
              <w:spacing w:before="120" w:after="12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Eficien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a energetică a sectorului transporturilor este una dintre marele provocări în calea spre tranzi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ia verde a sectorului respectiv, aceasta fiind exacerbată de infrastructura inadaptată care generează un consum intens de energie. Totu</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acesta reprezintă un sector cu poten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ialul semnificativ de cre</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tere a eficien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ei energetice, prin promovarea transportului </w:t>
            </w:r>
            <w:r w:rsidR="00AF7B71" w:rsidRPr="00DD57E3">
              <w:rPr>
                <w:rFonts w:ascii="Times New Roman" w:hAnsi="Times New Roman" w:cs="Times New Roman"/>
                <w:bCs/>
                <w:iCs/>
                <w:sz w:val="24"/>
                <w:szCs w:val="24"/>
                <w:lang w:val="ro-MD"/>
              </w:rPr>
              <w:t xml:space="preserve">rutier </w:t>
            </w:r>
            <w:r w:rsidRPr="00DD57E3">
              <w:rPr>
                <w:rFonts w:ascii="Times New Roman" w:hAnsi="Times New Roman" w:cs="Times New Roman"/>
                <w:bCs/>
                <w:iCs/>
                <w:sz w:val="24"/>
                <w:szCs w:val="24"/>
                <w:lang w:val="ro-MD"/>
              </w:rPr>
              <w:t xml:space="preserve">eficient energetic în special în zonele urbane cu densitate mare a traficului rutier. </w:t>
            </w:r>
          </w:p>
          <w:p w14:paraId="27BE0586" w14:textId="31FDF8F9" w:rsidR="00D91B9B" w:rsidRPr="00DD57E3" w:rsidRDefault="00D91B9B">
            <w:pPr>
              <w:tabs>
                <w:tab w:val="left" w:pos="241"/>
                <w:tab w:val="left" w:pos="315"/>
                <w:tab w:val="left" w:pos="599"/>
                <w:tab w:val="left" w:pos="922"/>
              </w:tabs>
              <w:spacing w:after="12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xml:space="preserve">Transportul rutier este aproape </w:t>
            </w:r>
            <w:r w:rsidR="007E11B5" w:rsidRPr="00DD57E3">
              <w:rPr>
                <w:rFonts w:ascii="Times New Roman" w:hAnsi="Times New Roman" w:cs="Times New Roman"/>
                <w:bCs/>
                <w:iCs/>
                <w:sz w:val="24"/>
                <w:szCs w:val="24"/>
                <w:lang w:val="ro-MD"/>
              </w:rPr>
              <w:t xml:space="preserve">în totalitate </w:t>
            </w:r>
            <w:r w:rsidRPr="00DD57E3">
              <w:rPr>
                <w:rFonts w:ascii="Times New Roman" w:hAnsi="Times New Roman" w:cs="Times New Roman"/>
                <w:bCs/>
                <w:iCs/>
                <w:sz w:val="24"/>
                <w:szCs w:val="24"/>
                <w:lang w:val="ro-MD"/>
              </w:rPr>
              <w:t>dependent de combustibilii fosili, cu excep</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ia transportului public din mun. Chi</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inău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Băl</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 Având în vedere că parcurile de transport auto de pasageri au cunoscut o modernizare modestă, iar infrastructura necesară electrificării transporturilor nu a înregistrat progrese, a determinat cre</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terea numărul de autoturisme personale, majoritatea ineficiente energetic, iar în consecin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ă a crescut consumul de combustibil, a sporit congestionarea traficului rutier, numărul de accidente, precum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poluarea mediului. Această tendin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ă ascendentă de utilizare a transportului privat este resim</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ită mai ales în municipii.</w:t>
            </w:r>
          </w:p>
          <w:p w14:paraId="3FE6B029" w14:textId="480F18C9" w:rsidR="00D91B9B" w:rsidRPr="00DD57E3" w:rsidRDefault="00D91B9B">
            <w:pPr>
              <w:tabs>
                <w:tab w:val="left" w:pos="241"/>
                <w:tab w:val="left" w:pos="315"/>
                <w:tab w:val="left" w:pos="599"/>
                <w:tab w:val="left" w:pos="922"/>
              </w:tabs>
              <w:spacing w:before="100" w:after="100" w:line="240" w:lineRule="auto"/>
              <w:ind w:right="43"/>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Lipsa unor investi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ii în sistemul de transport public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subdezvoltarea acestui sector în centrele raionale, vor determina în continuare utilizatorii de transport să opteze către achizi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ionarea/utilizarea de autoturisme particulare, fapt ce va intensifica consecin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ele problemelor respective. </w:t>
            </w:r>
          </w:p>
          <w:p w14:paraId="1000DD81" w14:textId="0112B302" w:rsidR="00D91B9B" w:rsidRPr="00DD57E3" w:rsidRDefault="00D91B9B">
            <w:pPr>
              <w:tabs>
                <w:tab w:val="left" w:pos="241"/>
                <w:tab w:val="left" w:pos="315"/>
                <w:tab w:val="left" w:pos="599"/>
                <w:tab w:val="left" w:pos="922"/>
              </w:tabs>
              <w:spacing w:after="12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De notat că, transportul public, este o alternativă recomandată la nivel interna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ional pentru reducerea a poluării aerului, însă acesta va trebui să-</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redefinească nivelele de calitate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de eficien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ă. Cre</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terea gradului de utilizare a transportului public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a ponderii </w:t>
            </w:r>
            <w:r w:rsidR="00AF7B71" w:rsidRPr="00DD57E3">
              <w:rPr>
                <w:rFonts w:ascii="Times New Roman" w:hAnsi="Times New Roman" w:cs="Times New Roman"/>
                <w:bCs/>
                <w:iCs/>
                <w:sz w:val="24"/>
                <w:szCs w:val="24"/>
                <w:lang w:val="ro-MD"/>
              </w:rPr>
              <w:t xml:space="preserve">vehiculelor rutiere nepoluante </w:t>
            </w:r>
            <w:r w:rsidRPr="00DD57E3">
              <w:rPr>
                <w:rFonts w:ascii="Times New Roman" w:hAnsi="Times New Roman" w:cs="Times New Roman"/>
                <w:bCs/>
                <w:iCs/>
                <w:sz w:val="24"/>
                <w:szCs w:val="24"/>
                <w:lang w:val="ro-MD"/>
              </w:rPr>
              <w:t>va conduce la diminuarea înrăută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irii calită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ii aerului din mediul urban. Transportul public este o modalitate bună de a reduce congestia, mediul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emisiile dăunătoare sănătă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ii în zonele urbane, mai ales atunci când acestea folosesc combustibili alternativi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mai cura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 </w:t>
            </w:r>
            <w:r w:rsidR="00AF7B71" w:rsidRPr="00DD57E3">
              <w:rPr>
                <w:rFonts w:ascii="Times New Roman" w:hAnsi="Times New Roman" w:cs="Times New Roman"/>
                <w:bCs/>
                <w:iCs/>
                <w:sz w:val="24"/>
                <w:szCs w:val="24"/>
                <w:lang w:val="ro-MD"/>
              </w:rPr>
              <w:t>Prin urmare, a</w:t>
            </w:r>
            <w:r w:rsidRPr="00DD57E3">
              <w:rPr>
                <w:rFonts w:ascii="Times New Roman" w:hAnsi="Times New Roman" w:cs="Times New Roman"/>
                <w:bCs/>
                <w:iCs/>
                <w:sz w:val="24"/>
                <w:szCs w:val="24"/>
                <w:lang w:val="ro-MD"/>
              </w:rPr>
              <w:t xml:space="preserve">sigurarea </w:t>
            </w:r>
            <w:r w:rsidR="00AF7B71" w:rsidRPr="00DD57E3">
              <w:rPr>
                <w:rFonts w:ascii="Times New Roman" w:hAnsi="Times New Roman" w:cs="Times New Roman"/>
                <w:bCs/>
                <w:iCs/>
                <w:sz w:val="24"/>
                <w:szCs w:val="24"/>
                <w:lang w:val="ro-MD"/>
              </w:rPr>
              <w:t xml:space="preserve">parcurilor urbane de </w:t>
            </w:r>
            <w:r w:rsidRPr="00DD57E3">
              <w:rPr>
                <w:rFonts w:ascii="Times New Roman" w:hAnsi="Times New Roman" w:cs="Times New Roman"/>
                <w:bCs/>
                <w:iCs/>
                <w:sz w:val="24"/>
                <w:szCs w:val="24"/>
                <w:lang w:val="ro-MD"/>
              </w:rPr>
              <w:t xml:space="preserve">transport public </w:t>
            </w:r>
            <w:r w:rsidR="00AF7B71" w:rsidRPr="00DD57E3">
              <w:rPr>
                <w:rFonts w:ascii="Times New Roman" w:hAnsi="Times New Roman" w:cs="Times New Roman"/>
                <w:bCs/>
                <w:iCs/>
                <w:sz w:val="24"/>
                <w:szCs w:val="24"/>
                <w:lang w:val="ro-MD"/>
              </w:rPr>
              <w:t xml:space="preserve">cu vehicule nepoluante </w:t>
            </w:r>
            <w:r w:rsidR="00D84F0C" w:rsidRPr="00DD57E3">
              <w:rPr>
                <w:rFonts w:ascii="Times New Roman" w:hAnsi="Times New Roman" w:cs="Times New Roman"/>
                <w:bCs/>
                <w:iCs/>
                <w:sz w:val="24"/>
                <w:szCs w:val="24"/>
                <w:lang w:val="ro-MD"/>
              </w:rPr>
              <w:t>ș</w:t>
            </w:r>
            <w:r w:rsidR="00AF7B71" w:rsidRPr="00DD57E3">
              <w:rPr>
                <w:rFonts w:ascii="Times New Roman" w:hAnsi="Times New Roman" w:cs="Times New Roman"/>
                <w:bCs/>
                <w:iCs/>
                <w:sz w:val="24"/>
                <w:szCs w:val="24"/>
                <w:lang w:val="ro-MD"/>
              </w:rPr>
              <w:t>i</w:t>
            </w:r>
            <w:r w:rsidRPr="00DD57E3">
              <w:rPr>
                <w:rFonts w:ascii="Times New Roman" w:hAnsi="Times New Roman" w:cs="Times New Roman"/>
                <w:bCs/>
                <w:iCs/>
                <w:sz w:val="24"/>
                <w:szCs w:val="24"/>
                <w:lang w:val="ro-MD"/>
              </w:rPr>
              <w:t xml:space="preserve"> eficient</w:t>
            </w:r>
            <w:r w:rsidR="00AF7B71" w:rsidRPr="00DD57E3">
              <w:rPr>
                <w:rFonts w:ascii="Times New Roman" w:hAnsi="Times New Roman" w:cs="Times New Roman"/>
                <w:bCs/>
                <w:iCs/>
                <w:sz w:val="24"/>
                <w:szCs w:val="24"/>
                <w:lang w:val="ro-MD"/>
              </w:rPr>
              <w:t>e</w:t>
            </w:r>
            <w:r w:rsidRPr="00DD57E3">
              <w:rPr>
                <w:rFonts w:ascii="Times New Roman" w:hAnsi="Times New Roman" w:cs="Times New Roman"/>
                <w:bCs/>
                <w:iCs/>
                <w:sz w:val="24"/>
                <w:szCs w:val="24"/>
                <w:lang w:val="ro-MD"/>
              </w:rPr>
              <w:t xml:space="preserve">, va spori </w:t>
            </w:r>
            <w:r w:rsidR="00AF7B71" w:rsidRPr="00DD57E3">
              <w:rPr>
                <w:rFonts w:ascii="Times New Roman" w:hAnsi="Times New Roman" w:cs="Times New Roman"/>
                <w:bCs/>
                <w:iCs/>
                <w:sz w:val="24"/>
                <w:szCs w:val="24"/>
                <w:lang w:val="ro-MD"/>
              </w:rPr>
              <w:t xml:space="preserve">atractivitatea acestuia, </w:t>
            </w:r>
            <w:r w:rsidRPr="00DD57E3">
              <w:rPr>
                <w:rFonts w:ascii="Times New Roman" w:hAnsi="Times New Roman" w:cs="Times New Roman"/>
                <w:bCs/>
                <w:iCs/>
                <w:sz w:val="24"/>
                <w:szCs w:val="24"/>
                <w:lang w:val="ro-MD"/>
              </w:rPr>
              <w:t>calitatea mobilită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urbane, satisfac</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ia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comoditatea pentru utilizatori, inclusiv pentru conducătorii auto.  </w:t>
            </w:r>
          </w:p>
          <w:p w14:paraId="0C3E51B8" w14:textId="4C3B900F" w:rsidR="00D91B9B" w:rsidRPr="00DD57E3" w:rsidRDefault="00AF7B71">
            <w:pPr>
              <w:tabs>
                <w:tab w:val="left" w:pos="241"/>
                <w:tab w:val="left" w:pos="315"/>
                <w:tab w:val="left" w:pos="599"/>
                <w:tab w:val="left" w:pos="922"/>
              </w:tabs>
              <w:spacing w:after="12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La nivelul Uniunii Europene p</w:t>
            </w:r>
            <w:r w:rsidR="00D91B9B" w:rsidRPr="00DD57E3">
              <w:rPr>
                <w:rFonts w:ascii="Times New Roman" w:hAnsi="Times New Roman" w:cs="Times New Roman"/>
                <w:bCs/>
                <w:iCs/>
                <w:sz w:val="24"/>
                <w:szCs w:val="24"/>
                <w:lang w:val="ro-MD"/>
              </w:rPr>
              <w:t xml:space="preserve">romovarea transportului ecologic este reglementată de Directiva 2009/33/CE, </w:t>
            </w:r>
            <w:r w:rsidRPr="00DD57E3">
              <w:rPr>
                <w:rFonts w:ascii="Times New Roman" w:hAnsi="Times New Roman" w:cs="Times New Roman"/>
                <w:bCs/>
                <w:iCs/>
                <w:sz w:val="24"/>
                <w:szCs w:val="24"/>
                <w:lang w:val="ro-MD"/>
              </w:rPr>
              <w:t>cu ultimele modificări operate</w:t>
            </w:r>
            <w:r w:rsidR="00D91B9B" w:rsidRPr="00DD57E3">
              <w:rPr>
                <w:rFonts w:ascii="Times New Roman" w:hAnsi="Times New Roman" w:cs="Times New Roman"/>
                <w:bCs/>
                <w:iCs/>
                <w:sz w:val="24"/>
                <w:szCs w:val="24"/>
                <w:lang w:val="ro-MD"/>
              </w:rPr>
              <w:t xml:space="preserve"> prin Directiva (UE) 2019/1161</w:t>
            </w:r>
            <w:r w:rsidRPr="00DD57E3">
              <w:rPr>
                <w:rFonts w:ascii="Times New Roman" w:hAnsi="Times New Roman" w:cs="Times New Roman"/>
                <w:bCs/>
                <w:iCs/>
                <w:sz w:val="24"/>
                <w:szCs w:val="24"/>
                <w:lang w:val="ro-MD"/>
              </w:rPr>
              <w:t xml:space="preserv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Decizia (UE) 2024/1254</w:t>
            </w:r>
            <w:r w:rsidR="00D91B9B" w:rsidRPr="00DD57E3">
              <w:rPr>
                <w:rFonts w:ascii="Times New Roman" w:hAnsi="Times New Roman" w:cs="Times New Roman"/>
                <w:bCs/>
                <w:iCs/>
                <w:sz w:val="24"/>
                <w:szCs w:val="24"/>
                <w:lang w:val="ro-MD"/>
              </w:rPr>
              <w:t xml:space="preserve">. </w:t>
            </w:r>
          </w:p>
          <w:p w14:paraId="2C1BAA89" w14:textId="11E30DD3" w:rsidR="003C1102" w:rsidRPr="00DD57E3" w:rsidRDefault="00D91B9B">
            <w:pPr>
              <w:tabs>
                <w:tab w:val="left" w:pos="241"/>
                <w:tab w:val="left" w:pos="315"/>
                <w:tab w:val="left" w:pos="599"/>
                <w:tab w:val="left" w:pos="922"/>
              </w:tabs>
              <w:spacing w:after="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În prezent, în Republica Moldova, domeniul de referin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ă privind promovarea vehiculelor de transport rutier nepoluante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eficiente din punct de vedere energetic nu este reglementat. Legisla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ia na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ională specială aplicabilă transportului rutier nu face referire la transportul eficient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nepoluant, cu emisii reduse (Codul transporturilor rutiere nr. 150/2014, Legea nr. 131/2007 privind siguran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a traficului rutier, Regulamentul transporturilor auto de călători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bagaje, aprobat prin Hotărârea Guvernului nr. 854/2006)). Prin urmare rezultă, că de</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Republica Moldova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i-a asumat obiectivul de tranzi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ie verde la nivel de politici strategice, procesul de decarbonizare a transportului rutier avansează foarte lent. </w:t>
            </w:r>
          </w:p>
          <w:p w14:paraId="77DE22FA" w14:textId="77777777" w:rsidR="003C1102" w:rsidRPr="00DD57E3" w:rsidRDefault="003C1102">
            <w:pPr>
              <w:tabs>
                <w:tab w:val="left" w:pos="241"/>
                <w:tab w:val="left" w:pos="315"/>
                <w:tab w:val="left" w:pos="599"/>
                <w:tab w:val="left" w:pos="922"/>
              </w:tabs>
              <w:spacing w:after="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Printre politicile care promovează eficiența energetică în sectorul transporturilor este P</w:t>
            </w:r>
            <w:r w:rsidRPr="00DD57E3">
              <w:rPr>
                <w:rFonts w:ascii="Times New Roman" w:hAnsi="Times New Roman" w:cs="Times New Roman"/>
                <w:sz w:val="24"/>
                <w:szCs w:val="24"/>
                <w:lang w:val="ro-MD"/>
              </w:rPr>
              <w:t>lanul național integrat privind energia și clima pentru perioada 2025-2030 (PNIEC), care stabilește printre obiectivele-cheie și măsurile de politici (tabelul 1</w:t>
            </w:r>
            <w:r w:rsidRPr="00DD57E3">
              <w:rPr>
                <w:rFonts w:ascii="Times New Roman" w:hAnsi="Times New Roman" w:cs="Times New Roman"/>
                <w:bCs/>
                <w:iCs/>
                <w:sz w:val="24"/>
                <w:szCs w:val="24"/>
                <w:lang w:val="ro-MD"/>
              </w:rPr>
              <w:t xml:space="preserve">), pe dimensiunea de „Eficiență energetică”: </w:t>
            </w:r>
          </w:p>
          <w:p w14:paraId="4E96098E" w14:textId="5C6CEEFB" w:rsidR="003C1102" w:rsidRPr="00DD57E3" w:rsidRDefault="003C1102" w:rsidP="003C1102">
            <w:pPr>
              <w:numPr>
                <w:ilvl w:val="0"/>
                <w:numId w:val="1"/>
              </w:numPr>
              <w:tabs>
                <w:tab w:val="clear" w:pos="720"/>
                <w:tab w:val="num" w:pos="567"/>
              </w:tabs>
              <w:spacing w:after="0" w:line="240" w:lineRule="auto"/>
              <w:ind w:left="568" w:hanging="284"/>
              <w:jc w:val="both"/>
              <w:rPr>
                <w:rFonts w:ascii="Times New Roman" w:hAnsi="Times New Roman"/>
                <w:sz w:val="24"/>
                <w:szCs w:val="24"/>
                <w:lang w:val="ro-MD" w:eastAsia="en-GB"/>
              </w:rPr>
            </w:pPr>
            <w:r w:rsidRPr="00DD57E3">
              <w:rPr>
                <w:rFonts w:ascii="Times New Roman" w:hAnsi="Times New Roman"/>
                <w:sz w:val="24"/>
                <w:szCs w:val="24"/>
                <w:lang w:val="ro-MD" w:eastAsia="en-GB"/>
              </w:rPr>
              <w:t>Promovarea vehiculelor de transport rutier nepoluante și eficiente din punct de vedere energetic (PM_EE8);</w:t>
            </w:r>
          </w:p>
          <w:p w14:paraId="36F1997B" w14:textId="1236B6C1" w:rsidR="003C1102" w:rsidRPr="00DD57E3" w:rsidRDefault="003C1102" w:rsidP="003C1102">
            <w:pPr>
              <w:numPr>
                <w:ilvl w:val="0"/>
                <w:numId w:val="1"/>
              </w:numPr>
              <w:tabs>
                <w:tab w:val="clear" w:pos="720"/>
                <w:tab w:val="num" w:pos="567"/>
              </w:tabs>
              <w:spacing w:after="0" w:line="240" w:lineRule="auto"/>
              <w:ind w:left="568" w:hanging="284"/>
              <w:jc w:val="both"/>
              <w:rPr>
                <w:rFonts w:ascii="Times New Roman" w:hAnsi="Times New Roman"/>
                <w:sz w:val="24"/>
                <w:szCs w:val="24"/>
                <w:lang w:val="ro-MD" w:eastAsia="en-GB"/>
              </w:rPr>
            </w:pPr>
            <w:r w:rsidRPr="00DD57E3">
              <w:rPr>
                <w:rFonts w:ascii="Times New Roman" w:hAnsi="Times New Roman"/>
                <w:sz w:val="24"/>
                <w:szCs w:val="24"/>
                <w:lang w:val="ro-MD" w:eastAsia="en-GB"/>
              </w:rPr>
              <w:t xml:space="preserve">Creșterea ponderii </w:t>
            </w:r>
            <w:r w:rsidR="00F66F28" w:rsidRPr="00DD57E3">
              <w:rPr>
                <w:rFonts w:ascii="Times New Roman" w:hAnsi="Times New Roman"/>
                <w:sz w:val="24"/>
                <w:szCs w:val="24"/>
                <w:lang w:val="ro-MD" w:eastAsia="en-GB"/>
              </w:rPr>
              <w:t>autovehiculelor</w:t>
            </w:r>
            <w:r w:rsidRPr="00DD57E3">
              <w:rPr>
                <w:rFonts w:ascii="Times New Roman" w:hAnsi="Times New Roman"/>
                <w:sz w:val="24"/>
                <w:szCs w:val="24"/>
                <w:lang w:val="ro-MD" w:eastAsia="en-GB"/>
              </w:rPr>
              <w:t xml:space="preserve"> alimentate cu combustibili alternativi, precum și dezvoltarea infrastructurii naționale necesare pentru vehiculele electrice, a punctelor de încărcare și a infrastructurii de parcare a acestora (PM_EE9);</w:t>
            </w:r>
          </w:p>
          <w:p w14:paraId="5ADFFD41" w14:textId="2A219A4F" w:rsidR="004D297B" w:rsidRPr="00DD57E3" w:rsidRDefault="003C1102" w:rsidP="004D297B">
            <w:pPr>
              <w:numPr>
                <w:ilvl w:val="0"/>
                <w:numId w:val="1"/>
              </w:numPr>
              <w:tabs>
                <w:tab w:val="clear" w:pos="720"/>
                <w:tab w:val="num" w:pos="567"/>
              </w:tabs>
              <w:spacing w:after="0" w:line="240" w:lineRule="auto"/>
              <w:ind w:left="568" w:hanging="284"/>
              <w:jc w:val="both"/>
              <w:rPr>
                <w:rFonts w:ascii="Times New Roman" w:hAnsi="Times New Roman"/>
                <w:sz w:val="24"/>
                <w:szCs w:val="24"/>
                <w:lang w:val="ro-MD" w:eastAsia="en-GB"/>
              </w:rPr>
            </w:pPr>
            <w:r w:rsidRPr="00DD57E3">
              <w:rPr>
                <w:rFonts w:ascii="Times New Roman" w:hAnsi="Times New Roman"/>
                <w:sz w:val="24"/>
                <w:szCs w:val="24"/>
                <w:lang w:val="ro-MD" w:eastAsia="en-GB"/>
              </w:rPr>
              <w:t>Promovarea mobilității durabile (PM_EE11)</w:t>
            </w:r>
            <w:r w:rsidR="004D297B" w:rsidRPr="00DD57E3">
              <w:rPr>
                <w:rFonts w:ascii="Times New Roman" w:hAnsi="Times New Roman"/>
                <w:sz w:val="24"/>
                <w:szCs w:val="24"/>
                <w:lang w:val="ro-MD" w:eastAsia="en-GB"/>
              </w:rPr>
              <w:t xml:space="preserve">. </w:t>
            </w:r>
          </w:p>
          <w:p w14:paraId="66299FFD" w14:textId="1CAA0FCA" w:rsidR="004D297B" w:rsidRPr="00DD57E3" w:rsidRDefault="004D297B" w:rsidP="004D297B">
            <w:pPr>
              <w:tabs>
                <w:tab w:val="left" w:pos="200"/>
                <w:tab w:val="left" w:pos="455"/>
                <w:tab w:val="left" w:pos="599"/>
                <w:tab w:val="left" w:pos="922"/>
              </w:tabs>
              <w:spacing w:before="120" w:after="120" w:line="240" w:lineRule="auto"/>
              <w:ind w:right="45"/>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lastRenderedPageBreak/>
              <w:t xml:space="preserve">În conformitate cu Tabelul recapitulativ cu principalele obiective, politici și măsuri ale PNIEC (tabelul nr. 3), pe dimensiunea „Eficiență </w:t>
            </w:r>
            <w:r w:rsidR="00F66F28" w:rsidRPr="00DD57E3">
              <w:rPr>
                <w:rFonts w:ascii="Times New Roman" w:hAnsi="Times New Roman" w:cs="Times New Roman"/>
                <w:sz w:val="24"/>
                <w:szCs w:val="24"/>
                <w:lang w:val="ro-MD"/>
              </w:rPr>
              <w:t>energetică</w:t>
            </w:r>
            <w:r w:rsidRPr="00DD57E3">
              <w:rPr>
                <w:rFonts w:ascii="Times New Roman" w:hAnsi="Times New Roman" w:cs="Times New Roman"/>
                <w:sz w:val="24"/>
                <w:szCs w:val="24"/>
                <w:lang w:val="ro-MD"/>
              </w:rPr>
              <w:t>”, promovarea vehiculelor de transport rutier nepoluante și eficiente din punct de vedere energetic, este prevăzută drept una dintre principalele politici și măsuri necesare a fi realizate pentru atingerea obiectivului național</w:t>
            </w:r>
            <w:r w:rsidRPr="00DD57E3">
              <w:rPr>
                <w:rFonts w:ascii="Times New Roman" w:hAnsi="Times New Roman" w:cs="Times New Roman"/>
                <w:sz w:val="24"/>
                <w:szCs w:val="24"/>
                <w:vertAlign w:val="superscript"/>
                <w:lang w:val="ro-MD"/>
              </w:rPr>
              <w:t xml:space="preserve"> </w:t>
            </w:r>
            <w:r w:rsidRPr="00DD57E3">
              <w:rPr>
                <w:rFonts w:ascii="Times New Roman" w:hAnsi="Times New Roman" w:cs="Times New Roman"/>
                <w:sz w:val="24"/>
                <w:szCs w:val="24"/>
                <w:lang w:val="ro-MD"/>
              </w:rPr>
              <w:t xml:space="preserve">al consumului final de energie - de maximum 2.800 ktep către anul 2030.  </w:t>
            </w:r>
          </w:p>
          <w:p w14:paraId="72235B4F" w14:textId="35C9A83E" w:rsidR="00D91B9B" w:rsidRPr="00DD57E3" w:rsidRDefault="00D91B9B">
            <w:pPr>
              <w:tabs>
                <w:tab w:val="left" w:pos="200"/>
                <w:tab w:val="left" w:pos="455"/>
                <w:tab w:val="left" w:pos="599"/>
                <w:tab w:val="left" w:pos="922"/>
              </w:tabs>
              <w:spacing w:before="120" w:after="120" w:line="240" w:lineRule="auto"/>
              <w:ind w:right="45"/>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Proiectul de lege în esen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ă promovează </w:t>
            </w:r>
            <w:r w:rsidRPr="00DD57E3">
              <w:rPr>
                <w:rFonts w:ascii="Times New Roman" w:hAnsi="Times New Roman" w:cs="Times New Roman"/>
                <w:bCs/>
                <w:sz w:val="24"/>
                <w:szCs w:val="24"/>
                <w:lang w:val="ro-MD"/>
              </w:rPr>
              <w:t>tranzi</w:t>
            </w:r>
            <w:r w:rsidR="00D84F0C" w:rsidRPr="00DD57E3">
              <w:rPr>
                <w:rFonts w:ascii="Times New Roman" w:hAnsi="Times New Roman" w:cs="Times New Roman"/>
                <w:bCs/>
                <w:sz w:val="24"/>
                <w:szCs w:val="24"/>
                <w:lang w:val="ro-MD"/>
              </w:rPr>
              <w:t>ț</w:t>
            </w:r>
            <w:r w:rsidRPr="00DD57E3">
              <w:rPr>
                <w:rFonts w:ascii="Times New Roman" w:hAnsi="Times New Roman" w:cs="Times New Roman"/>
                <w:bCs/>
                <w:sz w:val="24"/>
                <w:szCs w:val="24"/>
                <w:lang w:val="ro-MD"/>
              </w:rPr>
              <w:t xml:space="preserve">ia verde a sectorului transporturilor, prin </w:t>
            </w:r>
            <w:r w:rsidRPr="00DD57E3">
              <w:rPr>
                <w:rFonts w:ascii="Times New Roman" w:hAnsi="Times New Roman" w:cs="Times New Roman"/>
                <w:sz w:val="24"/>
                <w:szCs w:val="24"/>
                <w:lang w:val="ro-MD"/>
              </w:rPr>
              <w:t>stimularea achizi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iilor de</w:t>
            </w:r>
            <w:r w:rsidRPr="00DD57E3">
              <w:rPr>
                <w:rFonts w:ascii="Times New Roman" w:hAnsi="Times New Roman" w:cs="Times New Roman"/>
                <w:bCs/>
                <w:sz w:val="24"/>
                <w:szCs w:val="24"/>
                <w:lang w:val="ro-MD"/>
              </w:rPr>
              <w:t xml:space="preserve"> vehiculele eficiente energetic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 xml:space="preserve">i cu emisii zero. Acest fapt va genera economii de energie </w:t>
            </w:r>
            <w:r w:rsidR="00D84F0C" w:rsidRPr="00DD57E3">
              <w:rPr>
                <w:rFonts w:ascii="Times New Roman" w:hAnsi="Times New Roman" w:cs="Times New Roman"/>
                <w:bCs/>
                <w:sz w:val="24"/>
                <w:szCs w:val="24"/>
                <w:lang w:val="ro-MD"/>
              </w:rPr>
              <w:t>ș</w:t>
            </w:r>
            <w:r w:rsidRPr="00DD57E3">
              <w:rPr>
                <w:rFonts w:ascii="Times New Roman" w:hAnsi="Times New Roman" w:cs="Times New Roman"/>
                <w:bCs/>
                <w:sz w:val="24"/>
                <w:szCs w:val="24"/>
                <w:lang w:val="ro-MD"/>
              </w:rPr>
              <w:t xml:space="preserve">i </w:t>
            </w:r>
            <w:r w:rsidRPr="00DD57E3">
              <w:rPr>
                <w:rFonts w:ascii="Times New Roman" w:hAnsi="Times New Roman" w:cs="Times New Roman"/>
                <w:sz w:val="24"/>
                <w:szCs w:val="24"/>
                <w:lang w:val="ro-MD"/>
              </w:rPr>
              <w:t>va determina un impact pozitiv asupra securită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 energetice a </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ării</w:t>
            </w:r>
            <w:r w:rsidRPr="00DD57E3">
              <w:rPr>
                <w:rFonts w:ascii="Times New Roman" w:hAnsi="Times New Roman" w:cs="Times New Roman"/>
                <w:bCs/>
                <w:sz w:val="24"/>
                <w:szCs w:val="24"/>
                <w:lang w:val="ro-MD"/>
              </w:rPr>
              <w:t xml:space="preserve"> datorită reducerii importurilor de combustibili fosili</w:t>
            </w:r>
            <w:r w:rsidRPr="00DD57E3">
              <w:rPr>
                <w:rFonts w:ascii="Times New Roman" w:hAnsi="Times New Roman" w:cs="Times New Roman"/>
                <w:sz w:val="24"/>
                <w:szCs w:val="24"/>
                <w:lang w:val="ro-MD"/>
              </w:rPr>
              <w:t xml:space="preserve">. </w:t>
            </w:r>
          </w:p>
          <w:p w14:paraId="5172ECA5" w14:textId="7FA535B8" w:rsidR="00D91B9B" w:rsidRPr="00DD57E3" w:rsidRDefault="00D91B9B">
            <w:pPr>
              <w:tabs>
                <w:tab w:val="left" w:pos="200"/>
                <w:tab w:val="left" w:pos="455"/>
                <w:tab w:val="left" w:pos="599"/>
                <w:tab w:val="left" w:pos="922"/>
              </w:tabs>
              <w:spacing w:before="120" w:after="0" w:line="240" w:lineRule="auto"/>
              <w:ind w:right="45"/>
              <w:jc w:val="both"/>
              <w:rPr>
                <w:rFonts w:ascii="Times New Roman" w:eastAsia="Microsoft Sans Serif" w:hAnsi="Times New Roman" w:cs="Times New Roman"/>
                <w:bCs/>
                <w:sz w:val="24"/>
                <w:szCs w:val="24"/>
                <w:lang w:val="ro-MD"/>
              </w:rPr>
            </w:pPr>
            <w:r w:rsidRPr="00DD57E3">
              <w:rPr>
                <w:rFonts w:ascii="Times New Roman" w:hAnsi="Times New Roman" w:cs="Times New Roman"/>
                <w:sz w:val="24"/>
                <w:szCs w:val="24"/>
                <w:lang w:val="ro-MD"/>
              </w:rPr>
              <w:t xml:space="preserve">Potrivit Comunicărilor Comisiei către Parlamentul European, Consiliul, Comitetul Economic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Social European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Comitetul Regiunilor, Planul UE „Economii de energie”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Planul REPowerEU din 18.05.2022</w:t>
            </w:r>
            <w:r w:rsidRPr="00DD57E3">
              <w:rPr>
                <w:rStyle w:val="ac"/>
                <w:rFonts w:ascii="Times New Roman" w:hAnsi="Times New Roman" w:cs="Times New Roman"/>
                <w:sz w:val="24"/>
                <w:szCs w:val="24"/>
                <w:lang w:val="ro-MD"/>
              </w:rPr>
              <w:footnoteReference w:id="11"/>
            </w:r>
            <w:r w:rsidRPr="00DD57E3">
              <w:rPr>
                <w:rFonts w:ascii="Times New Roman" w:hAnsi="Times New Roman" w:cs="Times New Roman"/>
                <w:sz w:val="24"/>
                <w:szCs w:val="24"/>
                <w:vertAlign w:val="superscript"/>
                <w:lang w:val="ro-MD"/>
              </w:rPr>
              <w:t>,</w:t>
            </w:r>
            <w:r w:rsidRPr="00DD57E3">
              <w:rPr>
                <w:rStyle w:val="ac"/>
                <w:rFonts w:ascii="Times New Roman" w:hAnsi="Times New Roman" w:cs="Times New Roman"/>
                <w:sz w:val="24"/>
                <w:szCs w:val="24"/>
                <w:lang w:val="ro-MD"/>
              </w:rPr>
              <w:footnoteReference w:id="12"/>
            </w:r>
            <w:r w:rsidRPr="00DD57E3">
              <w:rPr>
                <w:rFonts w:ascii="Times New Roman" w:hAnsi="Times New Roman" w:cs="Times New Roman"/>
                <w:sz w:val="24"/>
                <w:szCs w:val="24"/>
                <w:lang w:val="ro-MD"/>
              </w:rPr>
              <w:t>, măsurile de eficien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a energetică în domeniul transporturilor sunt abordate inclusiv prin prisma necesită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consolidării securită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 energetice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reducerii dependen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ei de importurile de combustibili fosili. Având în vedere că sectorul transporturilor înregistrează o intensitatea sporită a consumului de energie, acesta reprezintă unul dintre sectoarele-cheie în privin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a căruia se impune accelerarea măsurilor de eficien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ă energetică pentru a asigura economiile de energie.</w:t>
            </w:r>
            <w:r w:rsidRPr="00DD57E3">
              <w:rPr>
                <w:rFonts w:ascii="Times New Roman" w:hAnsi="Times New Roman"/>
                <w:bCs/>
                <w:sz w:val="24"/>
                <w:szCs w:val="24"/>
                <w:lang w:val="ro-MD"/>
              </w:rPr>
              <w:t xml:space="preserve"> Tranzi</w:t>
            </w:r>
            <w:r w:rsidR="00D84F0C" w:rsidRPr="00DD57E3">
              <w:rPr>
                <w:rFonts w:ascii="Times New Roman" w:hAnsi="Times New Roman"/>
                <w:bCs/>
                <w:sz w:val="24"/>
                <w:szCs w:val="24"/>
                <w:lang w:val="ro-MD"/>
              </w:rPr>
              <w:t>ț</w:t>
            </w:r>
            <w:r w:rsidRPr="00DD57E3">
              <w:rPr>
                <w:rFonts w:ascii="Times New Roman" w:hAnsi="Times New Roman"/>
                <w:bCs/>
                <w:sz w:val="24"/>
                <w:szCs w:val="24"/>
                <w:lang w:val="ro-MD"/>
              </w:rPr>
              <w:t xml:space="preserve">ia sectorului transporturilor către vehiculele cu emisii zero poate fi asigurată prin electrificare </w:t>
            </w:r>
            <w:r w:rsidR="00D84F0C" w:rsidRPr="00DD57E3">
              <w:rPr>
                <w:rFonts w:ascii="Times New Roman" w:hAnsi="Times New Roman"/>
                <w:bCs/>
                <w:sz w:val="24"/>
                <w:szCs w:val="24"/>
                <w:lang w:val="ro-MD"/>
              </w:rPr>
              <w:t>ș</w:t>
            </w:r>
            <w:r w:rsidRPr="00DD57E3">
              <w:rPr>
                <w:rFonts w:ascii="Times New Roman" w:hAnsi="Times New Roman"/>
                <w:bCs/>
                <w:sz w:val="24"/>
                <w:szCs w:val="24"/>
                <w:lang w:val="ro-MD"/>
              </w:rPr>
              <w:t xml:space="preserve">i utilizarea </w:t>
            </w:r>
            <w:r w:rsidR="007B1E78" w:rsidRPr="00DD57E3">
              <w:rPr>
                <w:rFonts w:ascii="Times New Roman" w:hAnsi="Times New Roman"/>
                <w:bCs/>
                <w:sz w:val="24"/>
                <w:szCs w:val="24"/>
                <w:lang w:val="ro-MD"/>
              </w:rPr>
              <w:t>combustibilului alternativ</w:t>
            </w:r>
            <w:r w:rsidRPr="00DD57E3">
              <w:rPr>
                <w:rFonts w:ascii="Times New Roman" w:hAnsi="Times New Roman"/>
                <w:bCs/>
                <w:sz w:val="24"/>
                <w:szCs w:val="24"/>
                <w:lang w:val="ro-MD"/>
              </w:rPr>
              <w:t>, eventual hidrogenului, ceea ce va determina economii substan</w:t>
            </w:r>
            <w:r w:rsidR="00D84F0C" w:rsidRPr="00DD57E3">
              <w:rPr>
                <w:rFonts w:ascii="Times New Roman" w:hAnsi="Times New Roman"/>
                <w:bCs/>
                <w:sz w:val="24"/>
                <w:szCs w:val="24"/>
                <w:lang w:val="ro-MD"/>
              </w:rPr>
              <w:t>ț</w:t>
            </w:r>
            <w:r w:rsidRPr="00DD57E3">
              <w:rPr>
                <w:rFonts w:ascii="Times New Roman" w:hAnsi="Times New Roman"/>
                <w:bCs/>
                <w:sz w:val="24"/>
                <w:szCs w:val="24"/>
                <w:lang w:val="ro-MD"/>
              </w:rPr>
              <w:t>iale de energie. În acest scop, Planul UE prevede:</w:t>
            </w:r>
          </w:p>
          <w:p w14:paraId="40ED5507" w14:textId="0710FF90" w:rsidR="00D91B9B" w:rsidRPr="00DD57E3" w:rsidRDefault="00D91B9B" w:rsidP="00D91B9B">
            <w:pPr>
              <w:numPr>
                <w:ilvl w:val="0"/>
                <w:numId w:val="1"/>
              </w:numPr>
              <w:tabs>
                <w:tab w:val="clear" w:pos="720"/>
                <w:tab w:val="num" w:pos="567"/>
              </w:tabs>
              <w:spacing w:after="0" w:line="240" w:lineRule="auto"/>
              <w:ind w:left="568" w:hanging="284"/>
              <w:jc w:val="both"/>
              <w:rPr>
                <w:rFonts w:ascii="Times New Roman" w:hAnsi="Times New Roman"/>
                <w:sz w:val="24"/>
                <w:szCs w:val="24"/>
                <w:lang w:val="ro-MD" w:eastAsia="en-GB"/>
              </w:rPr>
            </w:pPr>
            <w:r w:rsidRPr="00DD57E3">
              <w:rPr>
                <w:rFonts w:ascii="Times New Roman" w:hAnsi="Times New Roman"/>
                <w:sz w:val="24"/>
                <w:szCs w:val="24"/>
                <w:lang w:val="ro-MD" w:eastAsia="en-GB"/>
              </w:rPr>
              <w:t>elaborarea ini</w:t>
            </w:r>
            <w:r w:rsidR="00D84F0C" w:rsidRPr="00DD57E3">
              <w:rPr>
                <w:rFonts w:ascii="Times New Roman" w:hAnsi="Times New Roman"/>
                <w:sz w:val="24"/>
                <w:szCs w:val="24"/>
                <w:lang w:val="ro-MD" w:eastAsia="en-GB"/>
              </w:rPr>
              <w:t>ț</w:t>
            </w:r>
            <w:r w:rsidRPr="00DD57E3">
              <w:rPr>
                <w:rFonts w:ascii="Times New Roman" w:hAnsi="Times New Roman"/>
                <w:sz w:val="24"/>
                <w:szCs w:val="24"/>
                <w:lang w:val="ro-MD" w:eastAsia="en-GB"/>
              </w:rPr>
              <w:t>iativei legislative privind majorarea ponderii vehiculelor cu emisii zero, atât pentru parcurile de automobile ale institu</w:t>
            </w:r>
            <w:r w:rsidR="00D84F0C" w:rsidRPr="00DD57E3">
              <w:rPr>
                <w:rFonts w:ascii="Times New Roman" w:hAnsi="Times New Roman"/>
                <w:sz w:val="24"/>
                <w:szCs w:val="24"/>
                <w:lang w:val="ro-MD" w:eastAsia="en-GB"/>
              </w:rPr>
              <w:t>ț</w:t>
            </w:r>
            <w:r w:rsidRPr="00DD57E3">
              <w:rPr>
                <w:rFonts w:ascii="Times New Roman" w:hAnsi="Times New Roman"/>
                <w:sz w:val="24"/>
                <w:szCs w:val="24"/>
                <w:lang w:val="ro-MD" w:eastAsia="en-GB"/>
              </w:rPr>
              <w:t xml:space="preserve">iilor publice, cât </w:t>
            </w:r>
            <w:r w:rsidR="00D84F0C" w:rsidRPr="00DD57E3">
              <w:rPr>
                <w:rFonts w:ascii="Times New Roman" w:hAnsi="Times New Roman"/>
                <w:sz w:val="24"/>
                <w:szCs w:val="24"/>
                <w:lang w:val="ro-MD" w:eastAsia="en-GB"/>
              </w:rPr>
              <w:t>ș</w:t>
            </w:r>
            <w:r w:rsidRPr="00DD57E3">
              <w:rPr>
                <w:rFonts w:ascii="Times New Roman" w:hAnsi="Times New Roman"/>
                <w:sz w:val="24"/>
                <w:szCs w:val="24"/>
                <w:lang w:val="ro-MD" w:eastAsia="en-GB"/>
              </w:rPr>
              <w:t>i pentru entită</w:t>
            </w:r>
            <w:r w:rsidR="00D84F0C" w:rsidRPr="00DD57E3">
              <w:rPr>
                <w:rFonts w:ascii="Times New Roman" w:hAnsi="Times New Roman"/>
                <w:sz w:val="24"/>
                <w:szCs w:val="24"/>
                <w:lang w:val="ro-MD" w:eastAsia="en-GB"/>
              </w:rPr>
              <w:t>ț</w:t>
            </w:r>
            <w:r w:rsidRPr="00DD57E3">
              <w:rPr>
                <w:rFonts w:ascii="Times New Roman" w:hAnsi="Times New Roman"/>
                <w:sz w:val="24"/>
                <w:szCs w:val="24"/>
                <w:lang w:val="ro-MD" w:eastAsia="en-GB"/>
              </w:rPr>
              <w:t>ile private;</w:t>
            </w:r>
          </w:p>
          <w:p w14:paraId="6BE3B446" w14:textId="70F1109A" w:rsidR="00D91B9B" w:rsidRPr="00DD57E3" w:rsidRDefault="00D91B9B" w:rsidP="00D91B9B">
            <w:pPr>
              <w:numPr>
                <w:ilvl w:val="0"/>
                <w:numId w:val="1"/>
              </w:numPr>
              <w:tabs>
                <w:tab w:val="clear" w:pos="720"/>
                <w:tab w:val="num" w:pos="567"/>
              </w:tabs>
              <w:spacing w:after="0" w:line="240" w:lineRule="auto"/>
              <w:ind w:left="568" w:hanging="284"/>
              <w:jc w:val="both"/>
              <w:rPr>
                <w:rFonts w:ascii="Times New Roman" w:hAnsi="Times New Roman"/>
                <w:sz w:val="24"/>
                <w:szCs w:val="24"/>
                <w:lang w:val="ro-MD" w:eastAsia="en-GB"/>
              </w:rPr>
            </w:pPr>
            <w:r w:rsidRPr="00DD57E3">
              <w:rPr>
                <w:rFonts w:ascii="Times New Roman" w:hAnsi="Times New Roman"/>
                <w:sz w:val="24"/>
                <w:szCs w:val="24"/>
                <w:lang w:val="ro-MD" w:eastAsia="en-GB"/>
              </w:rPr>
              <w:t xml:space="preserve">urgentarea adoptării măsurilor privind combustibilii alternativi </w:t>
            </w:r>
            <w:r w:rsidR="00D84F0C" w:rsidRPr="00DD57E3">
              <w:rPr>
                <w:rFonts w:ascii="Times New Roman" w:hAnsi="Times New Roman"/>
                <w:sz w:val="24"/>
                <w:szCs w:val="24"/>
                <w:lang w:val="ro-MD" w:eastAsia="en-GB"/>
              </w:rPr>
              <w:t>ș</w:t>
            </w:r>
            <w:r w:rsidRPr="00DD57E3">
              <w:rPr>
                <w:rFonts w:ascii="Times New Roman" w:hAnsi="Times New Roman"/>
                <w:sz w:val="24"/>
                <w:szCs w:val="24"/>
                <w:lang w:val="ro-MD" w:eastAsia="en-GB"/>
              </w:rPr>
              <w:t>i mobilitatea verde;</w:t>
            </w:r>
          </w:p>
          <w:p w14:paraId="1987CD41" w14:textId="6725D4A8" w:rsidR="00D91B9B" w:rsidRPr="00DD57E3" w:rsidRDefault="00D91B9B" w:rsidP="00D91B9B">
            <w:pPr>
              <w:numPr>
                <w:ilvl w:val="0"/>
                <w:numId w:val="1"/>
              </w:numPr>
              <w:tabs>
                <w:tab w:val="clear" w:pos="720"/>
                <w:tab w:val="num" w:pos="567"/>
              </w:tabs>
              <w:spacing w:after="0" w:line="240" w:lineRule="auto"/>
              <w:ind w:left="568" w:hanging="284"/>
              <w:jc w:val="both"/>
              <w:rPr>
                <w:rFonts w:ascii="Times New Roman" w:hAnsi="Times New Roman"/>
                <w:sz w:val="24"/>
                <w:szCs w:val="24"/>
                <w:lang w:val="ro-MD" w:eastAsia="en-GB"/>
              </w:rPr>
            </w:pPr>
            <w:r w:rsidRPr="00DD57E3">
              <w:rPr>
                <w:rFonts w:ascii="Times New Roman" w:hAnsi="Times New Roman"/>
                <w:sz w:val="24"/>
                <w:szCs w:val="24"/>
                <w:lang w:val="ro-MD" w:eastAsia="en-GB"/>
              </w:rPr>
              <w:t>adoptarea pachetului legislativ ce vizează tranzi</w:t>
            </w:r>
            <w:r w:rsidR="00D84F0C" w:rsidRPr="00DD57E3">
              <w:rPr>
                <w:rFonts w:ascii="Times New Roman" w:hAnsi="Times New Roman"/>
                <w:sz w:val="24"/>
                <w:szCs w:val="24"/>
                <w:lang w:val="ro-MD" w:eastAsia="en-GB"/>
              </w:rPr>
              <w:t>ț</w:t>
            </w:r>
            <w:r w:rsidRPr="00DD57E3">
              <w:rPr>
                <w:rFonts w:ascii="Times New Roman" w:hAnsi="Times New Roman"/>
                <w:sz w:val="24"/>
                <w:szCs w:val="24"/>
                <w:lang w:val="ro-MD" w:eastAsia="en-GB"/>
              </w:rPr>
              <w:t>ia transportului de mărfuri către energia verde.</w:t>
            </w:r>
          </w:p>
          <w:p w14:paraId="09D9F8C7" w14:textId="35084871" w:rsidR="00D91B9B" w:rsidRPr="00DD57E3" w:rsidRDefault="00D91B9B">
            <w:pPr>
              <w:tabs>
                <w:tab w:val="left" w:pos="200"/>
                <w:tab w:val="left" w:pos="455"/>
                <w:tab w:val="left" w:pos="599"/>
                <w:tab w:val="left" w:pos="922"/>
              </w:tabs>
              <w:spacing w:before="120" w:after="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sz w:val="24"/>
                <w:szCs w:val="24"/>
                <w:lang w:val="ro-MD"/>
              </w:rPr>
              <w:t xml:space="preserve">Cu referire la economiile de energie pct. 2 lit. d) din Anexa 2 la </w:t>
            </w:r>
            <w:r w:rsidRPr="00DD57E3">
              <w:rPr>
                <w:rFonts w:ascii="Times New Roman" w:hAnsi="Times New Roman" w:cs="Times New Roman"/>
                <w:bCs/>
                <w:iCs/>
                <w:sz w:val="24"/>
                <w:szCs w:val="24"/>
                <w:lang w:val="ro-MD"/>
              </w:rPr>
              <w:t xml:space="preserve">Legea nr. 139/2018 prevede </w:t>
            </w:r>
            <w:r w:rsidRPr="00DD57E3">
              <w:rPr>
                <w:rFonts w:ascii="Times New Roman" w:hAnsi="Times New Roman" w:cs="Times New Roman"/>
                <w:sz w:val="24"/>
                <w:szCs w:val="24"/>
                <w:lang w:val="ro-MD"/>
              </w:rPr>
              <w:t xml:space="preserve">elaborarea </w:t>
            </w:r>
            <w:r w:rsidRPr="00DD57E3">
              <w:rPr>
                <w:rFonts w:ascii="Times New Roman" w:hAnsi="Times New Roman" w:cs="Times New Roman"/>
                <w:bCs/>
                <w:iCs/>
                <w:sz w:val="24"/>
                <w:szCs w:val="24"/>
                <w:lang w:val="ro-MD"/>
              </w:rPr>
              <w:t>politicilor în scopul încurajării unor niveluri mai ridicate de eficien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ă energetică a sistemelor de transport, a vehiculelor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combustibililor.</w:t>
            </w:r>
          </w:p>
          <w:p w14:paraId="4AC6AC9A" w14:textId="6BBC7423" w:rsidR="002934AF" w:rsidRPr="00DD57E3" w:rsidRDefault="002B2104" w:rsidP="002934AF">
            <w:pPr>
              <w:numPr>
                <w:ilvl w:val="0"/>
                <w:numId w:val="6"/>
              </w:numPr>
              <w:tabs>
                <w:tab w:val="left" w:pos="200"/>
                <w:tab w:val="left" w:pos="455"/>
                <w:tab w:val="left" w:pos="599"/>
                <w:tab w:val="left" w:pos="922"/>
              </w:tabs>
              <w:spacing w:before="240" w:after="0" w:line="240" w:lineRule="auto"/>
              <w:ind w:right="45" w:hanging="720"/>
              <w:jc w:val="both"/>
              <w:rPr>
                <w:rFonts w:ascii="Times New Roman" w:hAnsi="Times New Roman" w:cs="Times New Roman"/>
                <w:b/>
                <w:bCs/>
                <w:i/>
                <w:iCs/>
                <w:sz w:val="24"/>
                <w:szCs w:val="24"/>
                <w:lang w:val="ro-MD"/>
              </w:rPr>
            </w:pPr>
            <w:r w:rsidRPr="00DD57E3">
              <w:rPr>
                <w:rFonts w:ascii="Times New Roman" w:hAnsi="Times New Roman" w:cs="Times New Roman"/>
                <w:b/>
                <w:bCs/>
                <w:i/>
                <w:iCs/>
                <w:sz w:val="24"/>
                <w:szCs w:val="24"/>
                <w:lang w:val="ro-MD"/>
              </w:rPr>
              <w:t xml:space="preserve">Promovarea </w:t>
            </w:r>
            <w:r w:rsidR="00D84F0C" w:rsidRPr="00DD57E3">
              <w:rPr>
                <w:rFonts w:ascii="Times New Roman" w:hAnsi="Times New Roman" w:cs="Times New Roman"/>
                <w:b/>
                <w:bCs/>
                <w:i/>
                <w:iCs/>
                <w:sz w:val="24"/>
                <w:szCs w:val="24"/>
                <w:lang w:val="ro-MD"/>
              </w:rPr>
              <w:t>ș</w:t>
            </w:r>
            <w:r w:rsidRPr="00DD57E3">
              <w:rPr>
                <w:rFonts w:ascii="Times New Roman" w:hAnsi="Times New Roman" w:cs="Times New Roman"/>
                <w:b/>
                <w:bCs/>
                <w:i/>
                <w:iCs/>
                <w:sz w:val="24"/>
                <w:szCs w:val="24"/>
                <w:lang w:val="ro-MD"/>
              </w:rPr>
              <w:t>i stimularea pie</w:t>
            </w:r>
            <w:r w:rsidR="00D84F0C" w:rsidRPr="00DD57E3">
              <w:rPr>
                <w:rFonts w:ascii="Times New Roman" w:hAnsi="Times New Roman" w:cs="Times New Roman"/>
                <w:b/>
                <w:bCs/>
                <w:i/>
                <w:iCs/>
                <w:sz w:val="24"/>
                <w:szCs w:val="24"/>
                <w:lang w:val="ro-MD"/>
              </w:rPr>
              <w:t>ț</w:t>
            </w:r>
            <w:r w:rsidRPr="00DD57E3">
              <w:rPr>
                <w:rFonts w:ascii="Times New Roman" w:hAnsi="Times New Roman" w:cs="Times New Roman"/>
                <w:b/>
                <w:bCs/>
                <w:i/>
                <w:iCs/>
                <w:sz w:val="24"/>
                <w:szCs w:val="24"/>
                <w:lang w:val="ro-MD"/>
              </w:rPr>
              <w:t>ei</w:t>
            </w:r>
            <w:r w:rsidR="00D91B9B" w:rsidRPr="00DD57E3">
              <w:rPr>
                <w:rFonts w:ascii="Times New Roman" w:hAnsi="Times New Roman" w:cs="Times New Roman"/>
                <w:b/>
                <w:bCs/>
                <w:i/>
                <w:iCs/>
                <w:sz w:val="24"/>
                <w:szCs w:val="24"/>
                <w:lang w:val="ro-MD"/>
              </w:rPr>
              <w:t xml:space="preserve"> vehiculelor nepoluante prin intermediul procedurilor de achizi</w:t>
            </w:r>
            <w:r w:rsidR="00D84F0C" w:rsidRPr="00DD57E3">
              <w:rPr>
                <w:rFonts w:ascii="Times New Roman" w:hAnsi="Times New Roman" w:cs="Times New Roman"/>
                <w:b/>
                <w:bCs/>
                <w:i/>
                <w:iCs/>
                <w:sz w:val="24"/>
                <w:szCs w:val="24"/>
                <w:lang w:val="ro-MD"/>
              </w:rPr>
              <w:t>ț</w:t>
            </w:r>
            <w:r w:rsidR="00D91B9B" w:rsidRPr="00DD57E3">
              <w:rPr>
                <w:rFonts w:ascii="Times New Roman" w:hAnsi="Times New Roman" w:cs="Times New Roman"/>
                <w:b/>
                <w:bCs/>
                <w:i/>
                <w:iCs/>
                <w:sz w:val="24"/>
                <w:szCs w:val="24"/>
                <w:lang w:val="ro-MD"/>
              </w:rPr>
              <w:t xml:space="preserve">ii publice. </w:t>
            </w:r>
            <w:bookmarkStart w:id="4" w:name="Articolul_15."/>
          </w:p>
          <w:p w14:paraId="53F4270D" w14:textId="508366FC" w:rsidR="009B5EF2" w:rsidRPr="00DD57E3" w:rsidRDefault="002934AF" w:rsidP="002934AF">
            <w:pPr>
              <w:tabs>
                <w:tab w:val="left" w:pos="241"/>
                <w:tab w:val="left" w:pos="315"/>
                <w:tab w:val="left" w:pos="599"/>
                <w:tab w:val="left" w:pos="922"/>
              </w:tabs>
              <w:spacing w:before="120" w:after="120" w:line="240" w:lineRule="auto"/>
              <w:ind w:right="43"/>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xml:space="preserve">Unul dintre obiectivele Directivei 2009/33/CE este </w:t>
            </w:r>
            <w:r w:rsidR="009B5EF2" w:rsidRPr="00DD57E3">
              <w:rPr>
                <w:rFonts w:ascii="Times New Roman" w:hAnsi="Times New Roman" w:cs="Times New Roman"/>
                <w:bCs/>
                <w:iCs/>
                <w:sz w:val="24"/>
                <w:szCs w:val="24"/>
                <w:lang w:val="ro-MD"/>
              </w:rPr>
              <w:t>stimularea achizi</w:t>
            </w:r>
            <w:r w:rsidR="00D84F0C" w:rsidRPr="00DD57E3">
              <w:rPr>
                <w:rFonts w:ascii="Times New Roman" w:hAnsi="Times New Roman" w:cs="Times New Roman"/>
                <w:bCs/>
                <w:iCs/>
                <w:sz w:val="24"/>
                <w:szCs w:val="24"/>
                <w:lang w:val="ro-MD"/>
              </w:rPr>
              <w:t>ț</w:t>
            </w:r>
            <w:r w:rsidR="009B5EF2" w:rsidRPr="00DD57E3">
              <w:rPr>
                <w:rFonts w:ascii="Times New Roman" w:hAnsi="Times New Roman" w:cs="Times New Roman"/>
                <w:bCs/>
                <w:iCs/>
                <w:sz w:val="24"/>
                <w:szCs w:val="24"/>
                <w:lang w:val="ro-MD"/>
              </w:rPr>
              <w:t>iilor publice de autovehicule nepoluante, în scopul sus</w:t>
            </w:r>
            <w:r w:rsidR="00D84F0C" w:rsidRPr="00DD57E3">
              <w:rPr>
                <w:rFonts w:ascii="Times New Roman" w:hAnsi="Times New Roman" w:cs="Times New Roman"/>
                <w:bCs/>
                <w:iCs/>
                <w:sz w:val="24"/>
                <w:szCs w:val="24"/>
                <w:lang w:val="ro-MD"/>
              </w:rPr>
              <w:t>ț</w:t>
            </w:r>
            <w:r w:rsidR="009B5EF2" w:rsidRPr="00DD57E3">
              <w:rPr>
                <w:rFonts w:ascii="Times New Roman" w:hAnsi="Times New Roman" w:cs="Times New Roman"/>
                <w:bCs/>
                <w:iCs/>
                <w:sz w:val="24"/>
                <w:szCs w:val="24"/>
                <w:lang w:val="ro-MD"/>
              </w:rPr>
              <w:t>inerii tranzi</w:t>
            </w:r>
            <w:r w:rsidR="00D84F0C" w:rsidRPr="00DD57E3">
              <w:rPr>
                <w:rFonts w:ascii="Times New Roman" w:hAnsi="Times New Roman" w:cs="Times New Roman"/>
                <w:bCs/>
                <w:iCs/>
                <w:sz w:val="24"/>
                <w:szCs w:val="24"/>
                <w:lang w:val="ro-MD"/>
              </w:rPr>
              <w:t>ț</w:t>
            </w:r>
            <w:r w:rsidR="009B5EF2" w:rsidRPr="00DD57E3">
              <w:rPr>
                <w:rFonts w:ascii="Times New Roman" w:hAnsi="Times New Roman" w:cs="Times New Roman"/>
                <w:bCs/>
                <w:iCs/>
                <w:sz w:val="24"/>
                <w:szCs w:val="24"/>
                <w:lang w:val="ro-MD"/>
              </w:rPr>
              <w:t xml:space="preserve">iei către o mobilitate cu emisii scăzute. </w:t>
            </w:r>
          </w:p>
          <w:p w14:paraId="6242166F" w14:textId="2E72AFAA" w:rsidR="00D91B9B" w:rsidRPr="00DD57E3" w:rsidRDefault="002934AF">
            <w:pPr>
              <w:pStyle w:val="a6"/>
              <w:spacing w:before="120" w:after="240"/>
              <w:ind w:firstLine="0"/>
              <w:rPr>
                <w:bCs/>
                <w:lang w:val="ro-MD"/>
              </w:rPr>
            </w:pPr>
            <w:r w:rsidRPr="00DD57E3">
              <w:rPr>
                <w:bCs/>
                <w:lang w:val="ro-MD"/>
              </w:rPr>
              <w:t>La nivel na</w:t>
            </w:r>
            <w:r w:rsidR="00D84F0C" w:rsidRPr="00DD57E3">
              <w:rPr>
                <w:bCs/>
                <w:lang w:val="ro-MD"/>
              </w:rPr>
              <w:t>ț</w:t>
            </w:r>
            <w:r w:rsidRPr="00DD57E3">
              <w:rPr>
                <w:bCs/>
                <w:lang w:val="ro-MD"/>
              </w:rPr>
              <w:t>ional, a</w:t>
            </w:r>
            <w:r w:rsidR="00D91B9B" w:rsidRPr="00DD57E3">
              <w:rPr>
                <w:bCs/>
                <w:lang w:val="ro-MD"/>
              </w:rPr>
              <w:t>rt</w:t>
            </w:r>
            <w:r w:rsidRPr="00DD57E3">
              <w:rPr>
                <w:bCs/>
                <w:lang w:val="ro-MD"/>
              </w:rPr>
              <w:t>.</w:t>
            </w:r>
            <w:r w:rsidR="00D91B9B" w:rsidRPr="00DD57E3">
              <w:rPr>
                <w:bCs/>
                <w:lang w:val="ro-MD"/>
              </w:rPr>
              <w:t xml:space="preserve">15 al </w:t>
            </w:r>
            <w:r w:rsidR="00D91B9B" w:rsidRPr="00DD57E3">
              <w:rPr>
                <w:bCs/>
                <w:iCs/>
                <w:lang w:val="ro-MD"/>
              </w:rPr>
              <w:t>Legii nr. 139/2018 privind eficien</w:t>
            </w:r>
            <w:r w:rsidR="00D84F0C" w:rsidRPr="00DD57E3">
              <w:rPr>
                <w:bCs/>
                <w:iCs/>
                <w:lang w:val="ro-MD"/>
              </w:rPr>
              <w:t>ț</w:t>
            </w:r>
            <w:r w:rsidR="00D91B9B" w:rsidRPr="00DD57E3">
              <w:rPr>
                <w:bCs/>
                <w:iCs/>
                <w:lang w:val="ro-MD"/>
              </w:rPr>
              <w:t>a energetică</w:t>
            </w:r>
            <w:bookmarkEnd w:id="4"/>
            <w:r w:rsidR="00D91B9B" w:rsidRPr="00DD57E3">
              <w:rPr>
                <w:bCs/>
                <w:lang w:val="ro-MD"/>
              </w:rPr>
              <w:t>, trasează direc</w:t>
            </w:r>
            <w:r w:rsidR="00D84F0C" w:rsidRPr="00DD57E3">
              <w:rPr>
                <w:bCs/>
                <w:lang w:val="ro-MD"/>
              </w:rPr>
              <w:t>ț</w:t>
            </w:r>
            <w:r w:rsidR="00D91B9B" w:rsidRPr="00DD57E3">
              <w:rPr>
                <w:bCs/>
                <w:lang w:val="ro-MD"/>
              </w:rPr>
              <w:t xml:space="preserve">iile principale în domeniul </w:t>
            </w:r>
            <w:r w:rsidR="00D91B9B" w:rsidRPr="00DD57E3">
              <w:rPr>
                <w:lang w:val="ro-MD"/>
              </w:rPr>
              <w:t>achizi</w:t>
            </w:r>
            <w:r w:rsidR="00D84F0C" w:rsidRPr="00DD57E3">
              <w:rPr>
                <w:lang w:val="ro-MD"/>
              </w:rPr>
              <w:t>ț</w:t>
            </w:r>
            <w:r w:rsidR="00D91B9B" w:rsidRPr="00DD57E3">
              <w:rPr>
                <w:lang w:val="ro-MD"/>
              </w:rPr>
              <w:t>iilor publice durabile. Potrivit normei legale respective, autorită</w:t>
            </w:r>
            <w:r w:rsidR="00D84F0C" w:rsidRPr="00DD57E3">
              <w:rPr>
                <w:lang w:val="ro-MD"/>
              </w:rPr>
              <w:t>ț</w:t>
            </w:r>
            <w:r w:rsidR="00D91B9B" w:rsidRPr="00DD57E3">
              <w:rPr>
                <w:lang w:val="ro-MD"/>
              </w:rPr>
              <w:t>ile administra</w:t>
            </w:r>
            <w:r w:rsidR="00D84F0C" w:rsidRPr="00DD57E3">
              <w:rPr>
                <w:lang w:val="ro-MD"/>
              </w:rPr>
              <w:t>ț</w:t>
            </w:r>
            <w:r w:rsidR="00D91B9B" w:rsidRPr="00DD57E3">
              <w:rPr>
                <w:lang w:val="ro-MD"/>
              </w:rPr>
              <w:t>iei publice centrale de specialitate, alte autorită</w:t>
            </w:r>
            <w:r w:rsidR="00D84F0C" w:rsidRPr="00DD57E3">
              <w:rPr>
                <w:lang w:val="ro-MD"/>
              </w:rPr>
              <w:t>ț</w:t>
            </w:r>
            <w:r w:rsidR="00D91B9B" w:rsidRPr="00DD57E3">
              <w:rPr>
                <w:lang w:val="ro-MD"/>
              </w:rPr>
              <w:t>i sau institu</w:t>
            </w:r>
            <w:r w:rsidR="00D84F0C" w:rsidRPr="00DD57E3">
              <w:rPr>
                <w:lang w:val="ro-MD"/>
              </w:rPr>
              <w:t>ț</w:t>
            </w:r>
            <w:r w:rsidR="00D91B9B" w:rsidRPr="00DD57E3">
              <w:rPr>
                <w:lang w:val="ro-MD"/>
              </w:rPr>
              <w:t xml:space="preserve">ii publice care au calitatea de autoritate contractantă în sensul </w:t>
            </w:r>
            <w:hyperlink r:id="rId8" w:history="1">
              <w:r w:rsidR="00D91B9B" w:rsidRPr="00DD57E3">
                <w:rPr>
                  <w:lang w:val="ro-MD"/>
                </w:rPr>
                <w:t>Legii nr.131/2015</w:t>
              </w:r>
            </w:hyperlink>
            <w:r w:rsidR="00D91B9B" w:rsidRPr="00DD57E3">
              <w:rPr>
                <w:lang w:val="ro-MD"/>
              </w:rPr>
              <w:t xml:space="preserve"> privind achizi</w:t>
            </w:r>
            <w:r w:rsidR="00D84F0C" w:rsidRPr="00DD57E3">
              <w:rPr>
                <w:lang w:val="ro-MD"/>
              </w:rPr>
              <w:t>ț</w:t>
            </w:r>
            <w:r w:rsidR="00D91B9B" w:rsidRPr="00DD57E3">
              <w:rPr>
                <w:lang w:val="ro-MD"/>
              </w:rPr>
              <w:t xml:space="preserve">iile publice </w:t>
            </w:r>
            <w:r w:rsidR="00F74FDA" w:rsidRPr="00DD57E3">
              <w:rPr>
                <w:lang w:val="ro-MD"/>
              </w:rPr>
              <w:t>sunt</w:t>
            </w:r>
            <w:r w:rsidR="00D91B9B" w:rsidRPr="00DD57E3">
              <w:rPr>
                <w:lang w:val="ro-MD"/>
              </w:rPr>
              <w:t xml:space="preserve"> obligate să achizi</w:t>
            </w:r>
            <w:r w:rsidR="00D84F0C" w:rsidRPr="00DD57E3">
              <w:rPr>
                <w:lang w:val="ro-MD"/>
              </w:rPr>
              <w:t>ț</w:t>
            </w:r>
            <w:r w:rsidR="00D91B9B" w:rsidRPr="00DD57E3">
              <w:rPr>
                <w:lang w:val="ro-MD"/>
              </w:rPr>
              <w:t>ioneze doar bunuri, servicii sau lucrări cu performan</w:t>
            </w:r>
            <w:r w:rsidR="00D84F0C" w:rsidRPr="00DD57E3">
              <w:rPr>
                <w:lang w:val="ro-MD"/>
              </w:rPr>
              <w:t>ț</w:t>
            </w:r>
            <w:r w:rsidR="00D91B9B" w:rsidRPr="00DD57E3">
              <w:rPr>
                <w:lang w:val="ro-MD"/>
              </w:rPr>
              <w:t>ă înaltă de eficien</w:t>
            </w:r>
            <w:r w:rsidR="00D84F0C" w:rsidRPr="00DD57E3">
              <w:rPr>
                <w:lang w:val="ro-MD"/>
              </w:rPr>
              <w:t>ț</w:t>
            </w:r>
            <w:r w:rsidR="00D91B9B" w:rsidRPr="00DD57E3">
              <w:rPr>
                <w:lang w:val="ro-MD"/>
              </w:rPr>
              <w:t>ă energetică în măsura în care să fie respectate cerin</w:t>
            </w:r>
            <w:r w:rsidR="00D84F0C" w:rsidRPr="00DD57E3">
              <w:rPr>
                <w:lang w:val="ro-MD"/>
              </w:rPr>
              <w:t>ț</w:t>
            </w:r>
            <w:r w:rsidR="00D91B9B" w:rsidRPr="00DD57E3">
              <w:rPr>
                <w:lang w:val="ro-MD"/>
              </w:rPr>
              <w:t xml:space="preserve">ele privind eficacitatea costurilor, fezabilitatea economică, viabilitatea sporită, conformitatea tehnică, precum </w:t>
            </w:r>
            <w:r w:rsidR="00D84F0C" w:rsidRPr="00DD57E3">
              <w:rPr>
                <w:lang w:val="ro-MD"/>
              </w:rPr>
              <w:t>ș</w:t>
            </w:r>
            <w:r w:rsidR="00D91B9B" w:rsidRPr="00DD57E3">
              <w:rPr>
                <w:lang w:val="ro-MD"/>
              </w:rPr>
              <w:t>i să fie asigurat un nivel suficient de concuren</w:t>
            </w:r>
            <w:r w:rsidR="00D84F0C" w:rsidRPr="00DD57E3">
              <w:rPr>
                <w:lang w:val="ro-MD"/>
              </w:rPr>
              <w:t>ț</w:t>
            </w:r>
            <w:r w:rsidR="00D91B9B" w:rsidRPr="00DD57E3">
              <w:rPr>
                <w:lang w:val="ro-MD"/>
              </w:rPr>
              <w:t>ă în conformitate cu cerin</w:t>
            </w:r>
            <w:r w:rsidR="00D84F0C" w:rsidRPr="00DD57E3">
              <w:rPr>
                <w:lang w:val="ro-MD"/>
              </w:rPr>
              <w:t>ț</w:t>
            </w:r>
            <w:r w:rsidR="00D91B9B" w:rsidRPr="00DD57E3">
              <w:rPr>
                <w:lang w:val="ro-MD"/>
              </w:rPr>
              <w:t>ele stabilite în anexa nr. 4 a Legii nominalizate. Totodată, norma legală include sub inciden</w:t>
            </w:r>
            <w:r w:rsidR="00D84F0C" w:rsidRPr="00DD57E3">
              <w:rPr>
                <w:lang w:val="ro-MD"/>
              </w:rPr>
              <w:t>ț</w:t>
            </w:r>
            <w:r w:rsidR="00D91B9B" w:rsidRPr="00DD57E3">
              <w:rPr>
                <w:lang w:val="ro-MD"/>
              </w:rPr>
              <w:t>a acesteia persoanele juridice de drept privat în cazul atribuirii contractelor de achizi</w:t>
            </w:r>
            <w:r w:rsidR="00D84F0C" w:rsidRPr="00DD57E3">
              <w:rPr>
                <w:lang w:val="ro-MD"/>
              </w:rPr>
              <w:t>ț</w:t>
            </w:r>
            <w:r w:rsidR="00D91B9B" w:rsidRPr="00DD57E3">
              <w:rPr>
                <w:lang w:val="ro-MD"/>
              </w:rPr>
              <w:t xml:space="preserve">ii publice de bunuri, servicii </w:t>
            </w:r>
            <w:r w:rsidR="00D91B9B" w:rsidRPr="00DD57E3">
              <w:rPr>
                <w:bCs/>
                <w:lang w:val="ro-MD"/>
              </w:rPr>
              <w:t>sau lucrări finan</w:t>
            </w:r>
            <w:r w:rsidR="00D84F0C" w:rsidRPr="00DD57E3">
              <w:rPr>
                <w:bCs/>
                <w:lang w:val="ro-MD"/>
              </w:rPr>
              <w:t>ț</w:t>
            </w:r>
            <w:r w:rsidR="00D91B9B" w:rsidRPr="00DD57E3">
              <w:rPr>
                <w:bCs/>
                <w:lang w:val="ro-MD"/>
              </w:rPr>
              <w:t xml:space="preserve">ate </w:t>
            </w:r>
            <w:r w:rsidR="00D84F0C" w:rsidRPr="00DD57E3">
              <w:rPr>
                <w:bCs/>
                <w:lang w:val="ro-MD"/>
              </w:rPr>
              <w:t>ș</w:t>
            </w:r>
            <w:r w:rsidR="00D91B9B" w:rsidRPr="00DD57E3">
              <w:rPr>
                <w:bCs/>
                <w:lang w:val="ro-MD"/>
              </w:rPr>
              <w:t>i/sau subven</w:t>
            </w:r>
            <w:r w:rsidR="00D84F0C" w:rsidRPr="00DD57E3">
              <w:rPr>
                <w:bCs/>
                <w:lang w:val="ro-MD"/>
              </w:rPr>
              <w:t>ț</w:t>
            </w:r>
            <w:r w:rsidR="00D91B9B" w:rsidRPr="00DD57E3">
              <w:rPr>
                <w:bCs/>
                <w:lang w:val="ro-MD"/>
              </w:rPr>
              <w:t>ionate cu peste 50% de către autorită</w:t>
            </w:r>
            <w:r w:rsidR="00D84F0C" w:rsidRPr="00DD57E3">
              <w:rPr>
                <w:bCs/>
                <w:lang w:val="ro-MD"/>
              </w:rPr>
              <w:t>ț</w:t>
            </w:r>
            <w:r w:rsidR="00D91B9B" w:rsidRPr="00DD57E3">
              <w:rPr>
                <w:bCs/>
                <w:lang w:val="ro-MD"/>
              </w:rPr>
              <w:t xml:space="preserve">ile </w:t>
            </w:r>
            <w:r w:rsidR="00D84F0C" w:rsidRPr="00DD57E3">
              <w:rPr>
                <w:bCs/>
                <w:lang w:val="ro-MD"/>
              </w:rPr>
              <w:t>ș</w:t>
            </w:r>
            <w:r w:rsidR="00D91B9B" w:rsidRPr="00DD57E3">
              <w:rPr>
                <w:bCs/>
                <w:lang w:val="ro-MD"/>
              </w:rPr>
              <w:t>i institu</w:t>
            </w:r>
            <w:r w:rsidR="00D84F0C" w:rsidRPr="00DD57E3">
              <w:rPr>
                <w:bCs/>
                <w:lang w:val="ro-MD"/>
              </w:rPr>
              <w:t>ț</w:t>
            </w:r>
            <w:r w:rsidR="00D91B9B" w:rsidRPr="00DD57E3">
              <w:rPr>
                <w:bCs/>
                <w:lang w:val="ro-MD"/>
              </w:rPr>
              <w:t xml:space="preserve">iile care au calitatea de autoritate contractantă în sensul </w:t>
            </w:r>
            <w:hyperlink r:id="rId9" w:history="1">
              <w:r w:rsidR="00D91B9B" w:rsidRPr="00DD57E3">
                <w:rPr>
                  <w:bCs/>
                  <w:lang w:val="ro-MD"/>
                </w:rPr>
                <w:t>Legii nr. 131/2015</w:t>
              </w:r>
            </w:hyperlink>
            <w:r w:rsidR="00D91B9B" w:rsidRPr="00DD57E3">
              <w:rPr>
                <w:bCs/>
                <w:lang w:val="ro-MD"/>
              </w:rPr>
              <w:t xml:space="preserve">. </w:t>
            </w:r>
          </w:p>
          <w:p w14:paraId="25D7DEFC" w14:textId="39D29273" w:rsidR="00AF7B71" w:rsidRPr="00DD57E3" w:rsidRDefault="000A7547" w:rsidP="00AF7B71">
            <w:pPr>
              <w:pStyle w:val="a6"/>
              <w:spacing w:before="120"/>
              <w:ind w:firstLine="0"/>
              <w:rPr>
                <w:bCs/>
                <w:iCs/>
                <w:lang w:val="ro-MD"/>
              </w:rPr>
            </w:pPr>
            <w:r w:rsidRPr="00DD57E3">
              <w:rPr>
                <w:bCs/>
                <w:iCs/>
                <w:lang w:val="ro-MD"/>
              </w:rPr>
              <w:t>În ceea ce prive</w:t>
            </w:r>
            <w:r w:rsidR="00D84F0C" w:rsidRPr="00DD57E3">
              <w:rPr>
                <w:bCs/>
                <w:iCs/>
                <w:lang w:val="ro-MD"/>
              </w:rPr>
              <w:t>ș</w:t>
            </w:r>
            <w:r w:rsidRPr="00DD57E3">
              <w:rPr>
                <w:bCs/>
                <w:iCs/>
                <w:lang w:val="ro-MD"/>
              </w:rPr>
              <w:t>te achizi</w:t>
            </w:r>
            <w:r w:rsidR="00D84F0C" w:rsidRPr="00DD57E3">
              <w:rPr>
                <w:bCs/>
                <w:iCs/>
                <w:lang w:val="ro-MD"/>
              </w:rPr>
              <w:t>ț</w:t>
            </w:r>
            <w:r w:rsidRPr="00DD57E3">
              <w:rPr>
                <w:bCs/>
                <w:iCs/>
                <w:lang w:val="ro-MD"/>
              </w:rPr>
              <w:t>iile durabile, Legea nr.</w:t>
            </w:r>
            <w:r w:rsidR="00F21F31" w:rsidRPr="00DD57E3">
              <w:rPr>
                <w:bCs/>
                <w:iCs/>
                <w:lang w:val="ro-MD"/>
              </w:rPr>
              <w:t xml:space="preserve"> </w:t>
            </w:r>
            <w:r w:rsidRPr="00DD57E3">
              <w:rPr>
                <w:bCs/>
                <w:iCs/>
                <w:lang w:val="ro-MD"/>
              </w:rPr>
              <w:t xml:space="preserve">131/2015 privind </w:t>
            </w:r>
            <w:r w:rsidR="0073595E" w:rsidRPr="00DD57E3">
              <w:rPr>
                <w:bCs/>
                <w:iCs/>
                <w:lang w:val="ro-MD"/>
              </w:rPr>
              <w:t>achizi</w:t>
            </w:r>
            <w:r w:rsidR="00D84F0C" w:rsidRPr="00DD57E3">
              <w:rPr>
                <w:bCs/>
                <w:iCs/>
                <w:lang w:val="ro-MD"/>
              </w:rPr>
              <w:t>ț</w:t>
            </w:r>
            <w:r w:rsidR="0073595E" w:rsidRPr="00DD57E3">
              <w:rPr>
                <w:bCs/>
                <w:iCs/>
                <w:lang w:val="ro-MD"/>
              </w:rPr>
              <w:t>iile</w:t>
            </w:r>
            <w:r w:rsidRPr="00DD57E3">
              <w:rPr>
                <w:bCs/>
                <w:iCs/>
                <w:lang w:val="ro-MD"/>
              </w:rPr>
              <w:t xml:space="preserve"> publice permite utilizarea abordărilor </w:t>
            </w:r>
            <w:r w:rsidR="00D84F0C" w:rsidRPr="00DD57E3">
              <w:rPr>
                <w:bCs/>
                <w:iCs/>
                <w:lang w:val="ro-MD"/>
              </w:rPr>
              <w:t>ș</w:t>
            </w:r>
            <w:r w:rsidRPr="00DD57E3">
              <w:rPr>
                <w:bCs/>
                <w:iCs/>
                <w:lang w:val="ro-MD"/>
              </w:rPr>
              <w:t xml:space="preserve">i criteriilor de durabilitate. </w:t>
            </w:r>
          </w:p>
          <w:p w14:paraId="72FEA318" w14:textId="1A097630" w:rsidR="0073595E" w:rsidRPr="00DD57E3" w:rsidRDefault="0073595E" w:rsidP="0073595E">
            <w:pPr>
              <w:pStyle w:val="a6"/>
              <w:spacing w:before="120" w:after="240"/>
              <w:ind w:firstLine="0"/>
              <w:rPr>
                <w:bCs/>
                <w:lang w:val="ro-MD"/>
              </w:rPr>
            </w:pPr>
            <w:r w:rsidRPr="00DD57E3">
              <w:rPr>
                <w:bCs/>
                <w:lang w:val="ro-MD"/>
              </w:rPr>
              <w:t xml:space="preserve">De asemenea, </w:t>
            </w:r>
            <w:r w:rsidR="00C27458" w:rsidRPr="00DD57E3">
              <w:rPr>
                <w:bCs/>
                <w:lang w:val="ro-MD"/>
              </w:rPr>
              <w:t>P</w:t>
            </w:r>
            <w:r w:rsidRPr="00DD57E3">
              <w:rPr>
                <w:bCs/>
                <w:lang w:val="ro-MD"/>
              </w:rPr>
              <w:t xml:space="preserve">rogramul </w:t>
            </w:r>
            <w:r w:rsidR="00BF364C" w:rsidRPr="00DD57E3">
              <w:rPr>
                <w:bCs/>
                <w:lang w:val="ro-MD"/>
              </w:rPr>
              <w:t>na</w:t>
            </w:r>
            <w:r w:rsidR="00D84F0C" w:rsidRPr="00DD57E3">
              <w:rPr>
                <w:bCs/>
                <w:lang w:val="ro-MD"/>
              </w:rPr>
              <w:t>ț</w:t>
            </w:r>
            <w:r w:rsidR="00BF364C" w:rsidRPr="00DD57E3">
              <w:rPr>
                <w:bCs/>
                <w:lang w:val="ro-MD"/>
              </w:rPr>
              <w:t>ional de dezvoltare a sistemului de achizi</w:t>
            </w:r>
            <w:r w:rsidR="00D84F0C" w:rsidRPr="00DD57E3">
              <w:rPr>
                <w:bCs/>
                <w:lang w:val="ro-MD"/>
              </w:rPr>
              <w:t>ț</w:t>
            </w:r>
            <w:r w:rsidR="00BF364C" w:rsidRPr="00DD57E3">
              <w:rPr>
                <w:bCs/>
                <w:lang w:val="ro-MD"/>
              </w:rPr>
              <w:t>ii publice pentru anii 2023-202</w:t>
            </w:r>
            <w:r w:rsidR="000A7547" w:rsidRPr="00DD57E3">
              <w:rPr>
                <w:bCs/>
                <w:lang w:val="ro-MD"/>
              </w:rPr>
              <w:t>6</w:t>
            </w:r>
            <w:r w:rsidR="00BF364C" w:rsidRPr="00DD57E3">
              <w:rPr>
                <w:bCs/>
                <w:lang w:val="ro-MD"/>
              </w:rPr>
              <w:t>, aprobat prin Hotărârea Guvernului nr. 625/2023, abordează sistemul de achizi</w:t>
            </w:r>
            <w:r w:rsidR="00D84F0C" w:rsidRPr="00DD57E3">
              <w:rPr>
                <w:bCs/>
                <w:lang w:val="ro-MD"/>
              </w:rPr>
              <w:t>ț</w:t>
            </w:r>
            <w:r w:rsidR="00BF364C" w:rsidRPr="00DD57E3">
              <w:rPr>
                <w:bCs/>
                <w:lang w:val="ro-MD"/>
              </w:rPr>
              <w:t xml:space="preserve">ii publice prin prisma elementului de </w:t>
            </w:r>
            <w:r w:rsidR="00BF364C" w:rsidRPr="00DD57E3">
              <w:rPr>
                <w:bCs/>
                <w:i/>
                <w:iCs/>
                <w:lang w:val="ro-MD"/>
              </w:rPr>
              <w:t xml:space="preserve">durabilitatea </w:t>
            </w:r>
            <w:r w:rsidR="00BF364C" w:rsidRPr="00DD57E3">
              <w:rPr>
                <w:bCs/>
                <w:iCs/>
                <w:lang w:val="ro-MD"/>
              </w:rPr>
              <w:t>în scopul</w:t>
            </w:r>
            <w:r w:rsidR="00BF364C" w:rsidRPr="00DD57E3">
              <w:rPr>
                <w:bCs/>
                <w:i/>
                <w:iCs/>
                <w:lang w:val="ro-MD"/>
              </w:rPr>
              <w:t xml:space="preserve"> </w:t>
            </w:r>
            <w:r w:rsidR="00BF364C" w:rsidRPr="00DD57E3">
              <w:rPr>
                <w:bCs/>
                <w:lang w:val="ro-MD"/>
              </w:rPr>
              <w:t>asigurării necesită</w:t>
            </w:r>
            <w:r w:rsidR="00D84F0C" w:rsidRPr="00DD57E3">
              <w:rPr>
                <w:bCs/>
                <w:lang w:val="ro-MD"/>
              </w:rPr>
              <w:t>ț</w:t>
            </w:r>
            <w:r w:rsidR="00BF364C" w:rsidRPr="00DD57E3">
              <w:rPr>
                <w:bCs/>
                <w:lang w:val="ro-MD"/>
              </w:rPr>
              <w:t xml:space="preserve">ilor de bunuri, servicii, lucrări </w:t>
            </w:r>
            <w:r w:rsidR="00D84F0C" w:rsidRPr="00DD57E3">
              <w:rPr>
                <w:bCs/>
                <w:lang w:val="ro-MD"/>
              </w:rPr>
              <w:t>ț</w:t>
            </w:r>
            <w:r w:rsidR="00BF364C" w:rsidRPr="00DD57E3">
              <w:rPr>
                <w:bCs/>
                <w:lang w:val="ro-MD"/>
              </w:rPr>
              <w:t xml:space="preserve">inând cont de impactul economic, de mediu </w:t>
            </w:r>
            <w:r w:rsidR="00D84F0C" w:rsidRPr="00DD57E3">
              <w:rPr>
                <w:bCs/>
                <w:lang w:val="ro-MD"/>
              </w:rPr>
              <w:t>ș</w:t>
            </w:r>
            <w:r w:rsidR="00BF364C" w:rsidRPr="00DD57E3">
              <w:rPr>
                <w:bCs/>
                <w:lang w:val="ro-MD"/>
              </w:rPr>
              <w:t>i cel social la fiecare achizi</w:t>
            </w:r>
            <w:r w:rsidR="00D84F0C" w:rsidRPr="00DD57E3">
              <w:rPr>
                <w:bCs/>
                <w:lang w:val="ro-MD"/>
              </w:rPr>
              <w:t>ț</w:t>
            </w:r>
            <w:r w:rsidR="00BF364C" w:rsidRPr="00DD57E3">
              <w:rPr>
                <w:bCs/>
                <w:lang w:val="ro-MD"/>
              </w:rPr>
              <w:t xml:space="preserve">ie pe care o planifică </w:t>
            </w:r>
            <w:r w:rsidR="00D84F0C" w:rsidRPr="00DD57E3">
              <w:rPr>
                <w:bCs/>
                <w:lang w:val="ro-MD"/>
              </w:rPr>
              <w:t>ș</w:t>
            </w:r>
            <w:r w:rsidR="00BF364C" w:rsidRPr="00DD57E3">
              <w:rPr>
                <w:bCs/>
                <w:lang w:val="ro-MD"/>
              </w:rPr>
              <w:t xml:space="preserve">i o </w:t>
            </w:r>
            <w:r w:rsidR="000A7547" w:rsidRPr="00DD57E3">
              <w:rPr>
                <w:bCs/>
                <w:lang w:val="ro-MD"/>
              </w:rPr>
              <w:t>desfă</w:t>
            </w:r>
            <w:r w:rsidR="00D84F0C" w:rsidRPr="00DD57E3">
              <w:rPr>
                <w:bCs/>
                <w:lang w:val="ro-MD"/>
              </w:rPr>
              <w:t>ș</w:t>
            </w:r>
            <w:r w:rsidR="000A7547" w:rsidRPr="00DD57E3">
              <w:rPr>
                <w:bCs/>
                <w:lang w:val="ro-MD"/>
              </w:rPr>
              <w:t>oară</w:t>
            </w:r>
            <w:r w:rsidR="00BF364C" w:rsidRPr="00DD57E3">
              <w:rPr>
                <w:bCs/>
                <w:lang w:val="ro-MD"/>
              </w:rPr>
              <w:t xml:space="preserve"> o autoritate contractantă. </w:t>
            </w:r>
            <w:r w:rsidR="001F2EBE" w:rsidRPr="00DD57E3">
              <w:rPr>
                <w:bCs/>
                <w:i/>
                <w:iCs/>
                <w:lang w:val="ro-MD"/>
              </w:rPr>
              <w:t xml:space="preserve">Obiectiv specific 3 </w:t>
            </w:r>
            <w:r w:rsidR="001F2EBE" w:rsidRPr="00DD57E3">
              <w:rPr>
                <w:bCs/>
                <w:iCs/>
                <w:lang w:val="ro-MD"/>
              </w:rPr>
              <w:t>al Programului</w:t>
            </w:r>
            <w:r w:rsidR="001F2EBE" w:rsidRPr="00DD57E3">
              <w:rPr>
                <w:bCs/>
                <w:i/>
                <w:iCs/>
                <w:lang w:val="ro-MD"/>
              </w:rPr>
              <w:t xml:space="preserve">, </w:t>
            </w:r>
            <w:r w:rsidR="001F2EBE" w:rsidRPr="00DD57E3">
              <w:rPr>
                <w:bCs/>
                <w:iCs/>
                <w:lang w:val="ro-MD"/>
              </w:rPr>
              <w:t xml:space="preserve">prevede </w:t>
            </w:r>
            <w:r w:rsidR="001F2EBE" w:rsidRPr="00DD57E3">
              <w:rPr>
                <w:bCs/>
                <w:i/>
                <w:iCs/>
                <w:lang w:val="ro-MD"/>
              </w:rPr>
              <w:t xml:space="preserve"> </w:t>
            </w:r>
            <w:r w:rsidR="001F2EBE" w:rsidRPr="00DD57E3">
              <w:rPr>
                <w:bCs/>
                <w:lang w:val="ro-MD"/>
              </w:rPr>
              <w:t>crearea unui sistem integral de achizi</w:t>
            </w:r>
            <w:r w:rsidR="00D84F0C" w:rsidRPr="00DD57E3">
              <w:rPr>
                <w:bCs/>
                <w:lang w:val="ro-MD"/>
              </w:rPr>
              <w:t>ț</w:t>
            </w:r>
            <w:r w:rsidR="001F2EBE" w:rsidRPr="00DD57E3">
              <w:rPr>
                <w:bCs/>
                <w:lang w:val="ro-MD"/>
              </w:rPr>
              <w:t xml:space="preserve">ii în scopul atingerii obiectivelor stabilite în documentele de politici publice, cu accent pe aspecte sociale, mediu, inovare </w:t>
            </w:r>
            <w:r w:rsidR="00D84F0C" w:rsidRPr="00DD57E3">
              <w:rPr>
                <w:bCs/>
                <w:lang w:val="ro-MD"/>
              </w:rPr>
              <w:t>ș</w:t>
            </w:r>
            <w:r w:rsidR="001F2EBE" w:rsidRPr="00DD57E3">
              <w:rPr>
                <w:bCs/>
                <w:lang w:val="ro-MD"/>
              </w:rPr>
              <w:t>i performan</w:t>
            </w:r>
            <w:r w:rsidR="00D84F0C" w:rsidRPr="00DD57E3">
              <w:rPr>
                <w:bCs/>
                <w:lang w:val="ro-MD"/>
              </w:rPr>
              <w:t>ț</w:t>
            </w:r>
            <w:r w:rsidR="001F2EBE" w:rsidRPr="00DD57E3">
              <w:rPr>
                <w:bCs/>
                <w:lang w:val="ro-MD"/>
              </w:rPr>
              <w:t xml:space="preserve">ă, </w:t>
            </w:r>
            <w:r w:rsidR="001F2EBE" w:rsidRPr="00DD57E3">
              <w:rPr>
                <w:bCs/>
                <w:lang w:val="ro-MD"/>
              </w:rPr>
              <w:lastRenderedPageBreak/>
              <w:t>inclusiv clarificarea rolurilor organiza</w:t>
            </w:r>
            <w:r w:rsidR="00D84F0C" w:rsidRPr="00DD57E3">
              <w:rPr>
                <w:bCs/>
                <w:lang w:val="ro-MD"/>
              </w:rPr>
              <w:t>ț</w:t>
            </w:r>
            <w:r w:rsidR="001F2EBE" w:rsidRPr="00DD57E3">
              <w:rPr>
                <w:bCs/>
                <w:lang w:val="ro-MD"/>
              </w:rPr>
              <w:t xml:space="preserve">iilor de la nivel strategic, tactic </w:t>
            </w:r>
            <w:r w:rsidR="00D84F0C" w:rsidRPr="00DD57E3">
              <w:rPr>
                <w:bCs/>
                <w:lang w:val="ro-MD"/>
              </w:rPr>
              <w:t>ș</w:t>
            </w:r>
            <w:r w:rsidR="001F2EBE" w:rsidRPr="00DD57E3">
              <w:rPr>
                <w:bCs/>
                <w:lang w:val="ro-MD"/>
              </w:rPr>
              <w:t>i opera</w:t>
            </w:r>
            <w:r w:rsidR="00D84F0C" w:rsidRPr="00DD57E3">
              <w:rPr>
                <w:bCs/>
                <w:lang w:val="ro-MD"/>
              </w:rPr>
              <w:t>ț</w:t>
            </w:r>
            <w:r w:rsidR="001F2EBE" w:rsidRPr="00DD57E3">
              <w:rPr>
                <w:bCs/>
                <w:lang w:val="ro-MD"/>
              </w:rPr>
              <w:t>ional pentru evitarea conflictului de competen</w:t>
            </w:r>
            <w:r w:rsidR="00D84F0C" w:rsidRPr="00DD57E3">
              <w:rPr>
                <w:bCs/>
                <w:lang w:val="ro-MD"/>
              </w:rPr>
              <w:t>ț</w:t>
            </w:r>
            <w:r w:rsidR="001F2EBE" w:rsidRPr="00DD57E3">
              <w:rPr>
                <w:bCs/>
                <w:lang w:val="ro-MD"/>
              </w:rPr>
              <w:t xml:space="preserve">ă, până la finele anului 2026. </w:t>
            </w:r>
          </w:p>
          <w:p w14:paraId="4856A07D" w14:textId="77777777" w:rsidR="00CE1149" w:rsidRPr="00DD57E3" w:rsidRDefault="001F2EBE" w:rsidP="0073595E">
            <w:pPr>
              <w:pStyle w:val="a6"/>
              <w:spacing w:before="120" w:after="240"/>
              <w:ind w:firstLine="0"/>
              <w:rPr>
                <w:szCs w:val="20"/>
                <w:lang w:val="ro-MD"/>
              </w:rPr>
            </w:pPr>
            <w:r w:rsidRPr="00DD57E3">
              <w:rPr>
                <w:szCs w:val="20"/>
                <w:lang w:val="ro-MD"/>
              </w:rPr>
              <w:t>Conform indicatorului referitor la ponderea contractelor de achizi</w:t>
            </w:r>
            <w:r w:rsidR="00D84F0C" w:rsidRPr="00DD57E3">
              <w:rPr>
                <w:szCs w:val="20"/>
                <w:lang w:val="ro-MD"/>
              </w:rPr>
              <w:t>ț</w:t>
            </w:r>
            <w:r w:rsidRPr="00DD57E3">
              <w:rPr>
                <w:szCs w:val="20"/>
                <w:lang w:val="ro-MD"/>
              </w:rPr>
              <w:t>ii ce con</w:t>
            </w:r>
            <w:r w:rsidR="00D84F0C" w:rsidRPr="00DD57E3">
              <w:rPr>
                <w:szCs w:val="20"/>
                <w:lang w:val="ro-MD"/>
              </w:rPr>
              <w:t>ț</w:t>
            </w:r>
            <w:r w:rsidRPr="00DD57E3">
              <w:rPr>
                <w:szCs w:val="20"/>
                <w:lang w:val="ro-MD"/>
              </w:rPr>
              <w:t xml:space="preserve">ine criterii sociale, mediu, inovare </w:t>
            </w:r>
            <w:r w:rsidR="00D84F0C" w:rsidRPr="00DD57E3">
              <w:rPr>
                <w:szCs w:val="20"/>
                <w:lang w:val="ro-MD"/>
              </w:rPr>
              <w:t>ș</w:t>
            </w:r>
            <w:r w:rsidRPr="00DD57E3">
              <w:rPr>
                <w:szCs w:val="20"/>
                <w:lang w:val="ro-MD"/>
              </w:rPr>
              <w:t>i performan</w:t>
            </w:r>
            <w:r w:rsidR="00D84F0C" w:rsidRPr="00DD57E3">
              <w:rPr>
                <w:szCs w:val="20"/>
                <w:lang w:val="ro-MD"/>
              </w:rPr>
              <w:t>ț</w:t>
            </w:r>
            <w:r w:rsidRPr="00DD57E3">
              <w:rPr>
                <w:szCs w:val="20"/>
                <w:lang w:val="ro-MD"/>
              </w:rPr>
              <w:t xml:space="preserve">ă – este stabilită </w:t>
            </w:r>
            <w:r w:rsidR="00D84F0C" w:rsidRPr="00DD57E3">
              <w:rPr>
                <w:szCs w:val="20"/>
                <w:lang w:val="ro-MD"/>
              </w:rPr>
              <w:t>ț</w:t>
            </w:r>
            <w:r w:rsidRPr="00DD57E3">
              <w:rPr>
                <w:szCs w:val="20"/>
                <w:lang w:val="ro-MD"/>
              </w:rPr>
              <w:t xml:space="preserve">inta de 15% pentru </w:t>
            </w:r>
            <w:r w:rsidR="00F74FDA" w:rsidRPr="00DD57E3">
              <w:rPr>
                <w:szCs w:val="20"/>
                <w:lang w:val="ro-MD"/>
              </w:rPr>
              <w:t>achizițiile</w:t>
            </w:r>
            <w:r w:rsidRPr="00DD57E3">
              <w:rPr>
                <w:szCs w:val="20"/>
                <w:lang w:val="ro-MD"/>
              </w:rPr>
              <w:t xml:space="preserve"> publice</w:t>
            </w:r>
            <w:r w:rsidR="0073595E" w:rsidRPr="00DD57E3">
              <w:rPr>
                <w:szCs w:val="20"/>
                <w:lang w:val="ro-MD"/>
              </w:rPr>
              <w:t>,</w:t>
            </w:r>
            <w:r w:rsidRPr="00DD57E3">
              <w:rPr>
                <w:szCs w:val="20"/>
                <w:lang w:val="ro-MD"/>
              </w:rPr>
              <w:t xml:space="preserve"> către orizontul de timp 2026.</w:t>
            </w:r>
          </w:p>
          <w:p w14:paraId="21D6D789" w14:textId="77777777" w:rsidR="00CE1149" w:rsidRPr="00DD57E3" w:rsidRDefault="00CE1149" w:rsidP="00C108FB">
            <w:pPr>
              <w:numPr>
                <w:ilvl w:val="0"/>
                <w:numId w:val="6"/>
              </w:numPr>
              <w:tabs>
                <w:tab w:val="left" w:pos="200"/>
                <w:tab w:val="left" w:pos="455"/>
                <w:tab w:val="left" w:pos="599"/>
                <w:tab w:val="left" w:pos="922"/>
              </w:tabs>
              <w:spacing w:before="240" w:after="0" w:line="240" w:lineRule="auto"/>
              <w:ind w:right="45" w:hanging="720"/>
              <w:jc w:val="both"/>
              <w:rPr>
                <w:b/>
                <w:bCs/>
                <w:i/>
                <w:iCs/>
                <w:lang w:val="ro-MD"/>
              </w:rPr>
            </w:pPr>
            <w:r w:rsidRPr="00DD57E3">
              <w:rPr>
                <w:rFonts w:ascii="Times New Roman" w:hAnsi="Times New Roman" w:cs="Times New Roman"/>
                <w:b/>
                <w:bCs/>
                <w:i/>
                <w:iCs/>
                <w:sz w:val="24"/>
                <w:szCs w:val="24"/>
                <w:lang w:val="ro-MD"/>
              </w:rPr>
              <w:t>Analiza situației actuale privind achizițiile de vehicule nepoluante</w:t>
            </w:r>
          </w:p>
          <w:p w14:paraId="4A176741" w14:textId="2A893CB3" w:rsidR="00CE1149" w:rsidRPr="00DD57E3" w:rsidRDefault="00CE1149" w:rsidP="00C108FB">
            <w:pPr>
              <w:pStyle w:val="a6"/>
              <w:spacing w:before="120" w:after="240"/>
              <w:ind w:firstLine="0"/>
              <w:rPr>
                <w:bCs/>
                <w:lang w:val="ro-MD"/>
              </w:rPr>
            </w:pPr>
            <w:r w:rsidRPr="00DD57E3">
              <w:rPr>
                <w:bCs/>
                <w:lang w:val="ro-MD"/>
              </w:rPr>
              <w:t xml:space="preserve">În vederea evaluării gradului de conformitate a Republicii Moldova cu cerințele Directivei 2009/33/CE, a fost realizată o analiză a achizițiilor publice relevante </w:t>
            </w:r>
            <w:r w:rsidR="00E36BBB" w:rsidRPr="00DD57E3">
              <w:rPr>
                <w:bCs/>
                <w:lang w:val="ro-MD"/>
              </w:rPr>
              <w:t xml:space="preserve">desfășurate </w:t>
            </w:r>
            <w:r w:rsidRPr="00DD57E3">
              <w:rPr>
                <w:bCs/>
                <w:lang w:val="ro-MD"/>
              </w:rPr>
              <w:t>în perioada 01.08.2021 – 01.12.2024. Această analiză a fost efectuată pe baza datelor furnizate de Ministerul Finanțelor (Agenția Achiziții Publice – AAP), extrase din baza de date a achizițiilor publice și structurate în conformitate cu clasificarea CPV.</w:t>
            </w:r>
          </w:p>
          <w:p w14:paraId="1944AC86" w14:textId="77777777" w:rsidR="00CE1149" w:rsidRPr="00DD57E3" w:rsidRDefault="00CE1149" w:rsidP="00C108FB">
            <w:pPr>
              <w:pStyle w:val="a6"/>
              <w:ind w:firstLine="0"/>
              <w:rPr>
                <w:bCs/>
                <w:lang w:val="ro-MD"/>
              </w:rPr>
            </w:pPr>
            <w:r w:rsidRPr="00DD57E3">
              <w:rPr>
                <w:bCs/>
                <w:lang w:val="ro-MD"/>
              </w:rPr>
              <w:t>Pentru a asigura o acoperire cât mai completă, au fost incluse toate contractele cu valori peste pragurile stabilite de Directivele 2014/24/UE și 2014/25/UE, respectiv:</w:t>
            </w:r>
          </w:p>
          <w:p w14:paraId="311409E5" w14:textId="77777777" w:rsidR="00CE1149" w:rsidRPr="00DD57E3" w:rsidRDefault="00CE1149" w:rsidP="00C108FB">
            <w:pPr>
              <w:pStyle w:val="a6"/>
              <w:numPr>
                <w:ilvl w:val="0"/>
                <w:numId w:val="17"/>
              </w:numPr>
              <w:rPr>
                <w:bCs/>
                <w:lang w:val="ro-MD"/>
              </w:rPr>
            </w:pPr>
            <w:r w:rsidRPr="00DD57E3">
              <w:rPr>
                <w:bCs/>
                <w:lang w:val="ro-MD"/>
              </w:rPr>
              <w:t>143 000 EUR pentru contractele de achiziții publice de produse și de servicii atribuite de autoritățile guvernamentale centrale;</w:t>
            </w:r>
          </w:p>
          <w:p w14:paraId="68CC653D" w14:textId="77777777" w:rsidR="00CE1149" w:rsidRPr="00DD57E3" w:rsidRDefault="00CE1149" w:rsidP="00C108FB">
            <w:pPr>
              <w:pStyle w:val="a6"/>
              <w:numPr>
                <w:ilvl w:val="0"/>
                <w:numId w:val="17"/>
              </w:numPr>
              <w:spacing w:after="240"/>
              <w:rPr>
                <w:bCs/>
                <w:lang w:val="ro-MD"/>
              </w:rPr>
            </w:pPr>
            <w:r w:rsidRPr="00DD57E3">
              <w:rPr>
                <w:bCs/>
                <w:lang w:val="ro-MD"/>
              </w:rPr>
              <w:t>221 000 EUR pentru contractele de achiziții publice de produse și de servicii atribuite de autoritățile contractante regionale și locale.</w:t>
            </w:r>
          </w:p>
          <w:p w14:paraId="0454C734" w14:textId="77777777" w:rsidR="00CE1149" w:rsidRPr="00DD57E3" w:rsidRDefault="00CE1149" w:rsidP="00C108FB">
            <w:pPr>
              <w:pStyle w:val="a6"/>
              <w:spacing w:before="120" w:after="240"/>
              <w:ind w:firstLine="0"/>
              <w:rPr>
                <w:bCs/>
                <w:lang w:val="ro-MD"/>
              </w:rPr>
            </w:pPr>
            <w:r w:rsidRPr="00DD57E3">
              <w:rPr>
                <w:bCs/>
                <w:lang w:val="ro-MD"/>
              </w:rPr>
              <w:t>Metodologia analizei a inclus verificarea manuală a fiecărei proceduri de achiziție pentru a reduce riscurile de clasificare eronată. De asemenea, lista codurilor CPV a fost extinsă pentru a evita omisiunile cauzate de clasificări necorespunzătoare.</w:t>
            </w:r>
          </w:p>
          <w:p w14:paraId="755C8E8E" w14:textId="77777777" w:rsidR="00CE1149" w:rsidRPr="00DD57E3" w:rsidRDefault="00CE1149" w:rsidP="00C108FB">
            <w:pPr>
              <w:pStyle w:val="a6"/>
              <w:spacing w:before="120"/>
              <w:ind w:firstLine="0"/>
              <w:rPr>
                <w:bCs/>
                <w:lang w:val="ro-MD"/>
              </w:rPr>
            </w:pPr>
            <w:r w:rsidRPr="00DD57E3">
              <w:rPr>
                <w:bCs/>
                <w:lang w:val="ro-MD"/>
              </w:rPr>
              <w:t>Conform prevederilor Directivei 2009/33/CE, achizițiile relevante includ:</w:t>
            </w:r>
          </w:p>
          <w:p w14:paraId="78CFE9F5" w14:textId="77777777" w:rsidR="00CE1149" w:rsidRPr="00DD57E3" w:rsidRDefault="00CE1149" w:rsidP="00C108FB">
            <w:pPr>
              <w:pStyle w:val="a6"/>
              <w:numPr>
                <w:ilvl w:val="0"/>
                <w:numId w:val="18"/>
              </w:numPr>
              <w:rPr>
                <w:bCs/>
                <w:lang w:val="ro-MD"/>
              </w:rPr>
            </w:pPr>
            <w:r w:rsidRPr="00DD57E3">
              <w:rPr>
                <w:bCs/>
                <w:lang w:val="ro-MD"/>
              </w:rPr>
              <w:t>Contracte de cumpărare, leasing, închiriere sau cumpărare cu plata în rate a vehiculelor de transport rutier atribuite de autorități contractante;</w:t>
            </w:r>
          </w:p>
          <w:p w14:paraId="5B4F42BB" w14:textId="77777777" w:rsidR="00CE1149" w:rsidRPr="00DD57E3" w:rsidRDefault="00CE1149" w:rsidP="00C108FB">
            <w:pPr>
              <w:pStyle w:val="a6"/>
              <w:numPr>
                <w:ilvl w:val="0"/>
                <w:numId w:val="18"/>
              </w:numPr>
              <w:rPr>
                <w:bCs/>
                <w:lang w:val="ro-MD"/>
              </w:rPr>
            </w:pPr>
            <w:r w:rsidRPr="00DD57E3">
              <w:rPr>
                <w:bCs/>
                <w:lang w:val="ro-MD"/>
              </w:rPr>
              <w:t>Contracte de servicii publice de transport rutier de pasageri, în sensul Regulamentului (CE) nr. 1370/2007;</w:t>
            </w:r>
          </w:p>
          <w:p w14:paraId="0ABFDAFA" w14:textId="77777777" w:rsidR="00CE1149" w:rsidRPr="00DD57E3" w:rsidRDefault="00CE1149" w:rsidP="00C108FB">
            <w:pPr>
              <w:pStyle w:val="a6"/>
              <w:numPr>
                <w:ilvl w:val="0"/>
                <w:numId w:val="18"/>
              </w:numPr>
              <w:spacing w:after="240"/>
              <w:rPr>
                <w:bCs/>
                <w:lang w:val="ro-MD"/>
              </w:rPr>
            </w:pPr>
            <w:r w:rsidRPr="00DD57E3">
              <w:rPr>
                <w:bCs/>
                <w:lang w:val="ro-MD"/>
              </w:rPr>
              <w:t>Contracte de servicii prevăzute în tabelul 1 din anexa la Directivă.</w:t>
            </w:r>
          </w:p>
          <w:p w14:paraId="7D405087" w14:textId="5A385314" w:rsidR="00CE1149" w:rsidRPr="00DD57E3" w:rsidRDefault="00CE1149" w:rsidP="00C108FB">
            <w:pPr>
              <w:pStyle w:val="a6"/>
              <w:ind w:firstLine="0"/>
              <w:rPr>
                <w:bCs/>
                <w:lang w:val="ro-MD"/>
              </w:rPr>
            </w:pPr>
            <w:r w:rsidRPr="00DD57E3">
              <w:rPr>
                <w:bCs/>
                <w:lang w:val="ro-MD"/>
              </w:rPr>
              <w:t>Rezultatele analizei indică un grad foarte redus de penetrare a vehiculelor nepoluante în achizițiile publice naționale, cu excepția segmentului de autobuze:</w:t>
            </w:r>
          </w:p>
          <w:p w14:paraId="69062FC9" w14:textId="10659E25" w:rsidR="00CE1149" w:rsidRPr="00DD57E3" w:rsidRDefault="00CE1149" w:rsidP="00C108FB">
            <w:pPr>
              <w:pStyle w:val="a6"/>
              <w:numPr>
                <w:ilvl w:val="0"/>
                <w:numId w:val="18"/>
              </w:numPr>
              <w:rPr>
                <w:bCs/>
                <w:lang w:val="ro-MD"/>
              </w:rPr>
            </w:pPr>
            <w:r w:rsidRPr="00DD57E3">
              <w:rPr>
                <w:bCs/>
                <w:lang w:val="ro-MD"/>
              </w:rPr>
              <w:t>Vehicule ușoare</w:t>
            </w:r>
            <w:r w:rsidR="00D94CC3" w:rsidRPr="00DD57E3">
              <w:rPr>
                <w:bCs/>
                <w:lang w:val="ro-MD"/>
              </w:rPr>
              <w:t xml:space="preserve"> (VU)</w:t>
            </w:r>
            <w:r w:rsidRPr="00DD57E3">
              <w:rPr>
                <w:bCs/>
                <w:lang w:val="ro-MD"/>
              </w:rPr>
              <w:t xml:space="preserve"> (M</w:t>
            </w:r>
            <w:r w:rsidRPr="00DD57E3">
              <w:rPr>
                <w:bCs/>
                <w:vertAlign w:val="subscript"/>
                <w:lang w:val="ro-MD"/>
              </w:rPr>
              <w:t>1</w:t>
            </w:r>
            <w:r w:rsidRPr="00DD57E3">
              <w:rPr>
                <w:bCs/>
                <w:lang w:val="ro-MD"/>
              </w:rPr>
              <w:t>, M</w:t>
            </w:r>
            <w:r w:rsidRPr="00DD57E3">
              <w:rPr>
                <w:bCs/>
                <w:vertAlign w:val="subscript"/>
                <w:lang w:val="ro-MD"/>
              </w:rPr>
              <w:t>2</w:t>
            </w:r>
            <w:r w:rsidRPr="00DD57E3">
              <w:rPr>
                <w:bCs/>
                <w:lang w:val="ro-MD"/>
              </w:rPr>
              <w:t xml:space="preserve"> și N</w:t>
            </w:r>
            <w:r w:rsidRPr="00DD57E3">
              <w:rPr>
                <w:bCs/>
                <w:vertAlign w:val="subscript"/>
                <w:lang w:val="ro-MD"/>
              </w:rPr>
              <w:t>1</w:t>
            </w:r>
            <w:r w:rsidRPr="00DD57E3">
              <w:rPr>
                <w:bCs/>
                <w:lang w:val="ro-MD"/>
              </w:rPr>
              <w:t>): 0% vehicule nepoluante (448 achiziționate din care 0 vehicule nepoluante);</w:t>
            </w:r>
          </w:p>
          <w:p w14:paraId="2D64191F" w14:textId="36742E27" w:rsidR="00CE1149" w:rsidRPr="00DD57E3" w:rsidRDefault="00CE1149" w:rsidP="00C108FB">
            <w:pPr>
              <w:pStyle w:val="a6"/>
              <w:numPr>
                <w:ilvl w:val="0"/>
                <w:numId w:val="18"/>
              </w:numPr>
              <w:rPr>
                <w:bCs/>
                <w:lang w:val="ro-MD"/>
              </w:rPr>
            </w:pPr>
            <w:r w:rsidRPr="00DD57E3">
              <w:rPr>
                <w:bCs/>
                <w:lang w:val="ro-MD"/>
              </w:rPr>
              <w:t xml:space="preserve">Vehicule grele </w:t>
            </w:r>
            <w:r w:rsidR="007706DA" w:rsidRPr="00DD57E3">
              <w:rPr>
                <w:bCs/>
                <w:lang w:val="ro-MD"/>
              </w:rPr>
              <w:t xml:space="preserve">(VG) </w:t>
            </w:r>
            <w:r w:rsidRPr="00DD57E3">
              <w:rPr>
                <w:bCs/>
                <w:lang w:val="ro-MD"/>
              </w:rPr>
              <w:t>(N</w:t>
            </w:r>
            <w:r w:rsidRPr="00DD57E3">
              <w:rPr>
                <w:bCs/>
                <w:vertAlign w:val="subscript"/>
                <w:lang w:val="ro-MD"/>
              </w:rPr>
              <w:t xml:space="preserve">2 </w:t>
            </w:r>
            <w:r w:rsidRPr="00DD57E3">
              <w:rPr>
                <w:bCs/>
                <w:lang w:val="ro-MD"/>
              </w:rPr>
              <w:t>și N</w:t>
            </w:r>
            <w:r w:rsidRPr="00DD57E3">
              <w:rPr>
                <w:bCs/>
                <w:vertAlign w:val="subscript"/>
                <w:lang w:val="ro-MD"/>
              </w:rPr>
              <w:t>3</w:t>
            </w:r>
            <w:r w:rsidRPr="00DD57E3">
              <w:rPr>
                <w:bCs/>
                <w:lang w:val="ro-MD"/>
              </w:rPr>
              <w:t>): 0% vehicule nepoluante (43 achiziționate din care 0 vehicule nepoluante);</w:t>
            </w:r>
          </w:p>
          <w:p w14:paraId="742491B3" w14:textId="025A454A" w:rsidR="00CE1149" w:rsidRPr="00DD57E3" w:rsidRDefault="00CE1149" w:rsidP="00CE1149">
            <w:pPr>
              <w:pStyle w:val="a6"/>
              <w:numPr>
                <w:ilvl w:val="0"/>
                <w:numId w:val="18"/>
              </w:numPr>
              <w:spacing w:after="240"/>
              <w:rPr>
                <w:bCs/>
                <w:lang w:val="ro-MD"/>
              </w:rPr>
            </w:pPr>
            <w:r w:rsidRPr="00DD57E3">
              <w:rPr>
                <w:bCs/>
                <w:lang w:val="ro-MD"/>
              </w:rPr>
              <w:t xml:space="preserve">Autobuze </w:t>
            </w:r>
            <w:r w:rsidR="007706DA" w:rsidRPr="00DD57E3">
              <w:rPr>
                <w:bCs/>
                <w:lang w:val="ro-MD"/>
              </w:rPr>
              <w:t xml:space="preserve">(BUS) </w:t>
            </w:r>
            <w:r w:rsidRPr="00DD57E3">
              <w:rPr>
                <w:bCs/>
                <w:lang w:val="ro-MD"/>
              </w:rPr>
              <w:t>(M3): 64% vehicule nepoluante (209 vehicule poluante vs. 367 nepoluante).</w:t>
            </w:r>
          </w:p>
          <w:p w14:paraId="5F11BD52" w14:textId="23775610" w:rsidR="008B2CF3" w:rsidRPr="00DD57E3" w:rsidRDefault="008B2CF3" w:rsidP="00C108FB">
            <w:pPr>
              <w:pStyle w:val="a6"/>
              <w:jc w:val="right"/>
              <w:rPr>
                <w:bCs/>
                <w:i/>
                <w:iCs/>
                <w:lang w:val="ro-MD"/>
              </w:rPr>
            </w:pPr>
            <w:r w:rsidRPr="00DD57E3">
              <w:rPr>
                <w:bCs/>
                <w:i/>
                <w:iCs/>
                <w:lang w:val="ro-MD"/>
              </w:rPr>
              <w:t xml:space="preserve">Tabel 1. </w:t>
            </w:r>
            <w:r w:rsidR="001311DD" w:rsidRPr="00DD57E3">
              <w:rPr>
                <w:bCs/>
                <w:i/>
                <w:iCs/>
                <w:lang w:val="ro-MD"/>
              </w:rPr>
              <w:t>Rezultatele analizei situației actuale</w:t>
            </w:r>
            <w:r w:rsidR="001311DD" w:rsidRPr="00DD57E3">
              <w:rPr>
                <w:i/>
                <w:lang w:val="ro-MD"/>
              </w:rPr>
              <w:t xml:space="preserve"> </w:t>
            </w:r>
            <w:r w:rsidR="001311DD" w:rsidRPr="00DD57E3">
              <w:rPr>
                <w:bCs/>
                <w:i/>
                <w:iCs/>
                <w:lang w:val="ro-MD"/>
              </w:rPr>
              <w:t xml:space="preserve">privind achizițiile de vehicule nepoluante </w:t>
            </w:r>
          </w:p>
          <w:tbl>
            <w:tblPr>
              <w:tblW w:w="5000" w:type="pct"/>
              <w:tblLook w:val="04A0" w:firstRow="1" w:lastRow="0" w:firstColumn="1" w:lastColumn="0" w:noHBand="0" w:noVBand="1"/>
            </w:tblPr>
            <w:tblGrid>
              <w:gridCol w:w="4417"/>
              <w:gridCol w:w="1097"/>
              <w:gridCol w:w="1159"/>
              <w:gridCol w:w="846"/>
              <w:gridCol w:w="1046"/>
              <w:gridCol w:w="915"/>
              <w:gridCol w:w="1046"/>
            </w:tblGrid>
            <w:tr w:rsidR="00D35A0D" w:rsidRPr="00DD57E3" w14:paraId="01C3B1B7" w14:textId="77777777" w:rsidTr="00F777F5">
              <w:trPr>
                <w:trHeight w:val="20"/>
              </w:trPr>
              <w:tc>
                <w:tcPr>
                  <w:tcW w:w="2101" w:type="pct"/>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40DFE12E" w14:textId="77777777" w:rsidR="00A050AE" w:rsidRPr="00DD57E3" w:rsidRDefault="00A050AE" w:rsidP="00A050AE">
                  <w:pPr>
                    <w:spacing w:after="0" w:line="240" w:lineRule="auto"/>
                    <w:jc w:val="right"/>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Ponderea vehiculelor nepoluante</w:t>
                  </w:r>
                </w:p>
              </w:tc>
              <w:tc>
                <w:tcPr>
                  <w:tcW w:w="107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67CE73FB" w14:textId="77777777" w:rsidR="00A050AE" w:rsidRPr="00DD57E3" w:rsidRDefault="00A050AE" w:rsidP="00A050AE">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88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76444EF4" w14:textId="77777777" w:rsidR="00A050AE" w:rsidRPr="00DD57E3" w:rsidRDefault="00A050AE" w:rsidP="00A050AE">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934"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3595E0A0" w14:textId="77777777" w:rsidR="00A050AE" w:rsidRPr="00DD57E3" w:rsidRDefault="00A050AE" w:rsidP="00A050AE">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64%</w:t>
                  </w:r>
                </w:p>
              </w:tc>
            </w:tr>
            <w:tr w:rsidR="00C77F46" w:rsidRPr="00DD57E3" w14:paraId="7A1FE643" w14:textId="77777777" w:rsidTr="00F777F5">
              <w:trPr>
                <w:trHeight w:val="20"/>
              </w:trPr>
              <w:tc>
                <w:tcPr>
                  <w:tcW w:w="2101" w:type="pct"/>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4647EF8B" w14:textId="77777777" w:rsidR="00A050AE" w:rsidRPr="00DD57E3" w:rsidRDefault="00A050AE" w:rsidP="00A050AE">
                  <w:pPr>
                    <w:spacing w:after="0" w:line="240" w:lineRule="auto"/>
                    <w:jc w:val="right"/>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Total</w:t>
                  </w: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50BD7CFD" w14:textId="77777777" w:rsidR="00A050AE" w:rsidRPr="00DD57E3" w:rsidRDefault="00A050AE" w:rsidP="00A050AE">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448</w:t>
                  </w:r>
                </w:p>
              </w:tc>
              <w:tc>
                <w:tcPr>
                  <w:tcW w:w="553" w:type="pct"/>
                  <w:tcBorders>
                    <w:top w:val="nil"/>
                    <w:left w:val="nil"/>
                    <w:bottom w:val="single" w:sz="4" w:space="0" w:color="auto"/>
                    <w:right w:val="single" w:sz="4" w:space="0" w:color="auto"/>
                  </w:tcBorders>
                  <w:shd w:val="clear" w:color="auto" w:fill="F2F2F2" w:themeFill="background1" w:themeFillShade="F2"/>
                  <w:vAlign w:val="center"/>
                  <w:hideMark/>
                </w:tcPr>
                <w:p w14:paraId="1070D96B" w14:textId="77777777" w:rsidR="00A050AE" w:rsidRPr="00DD57E3" w:rsidRDefault="00A050AE" w:rsidP="00A050AE">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390" w:type="pct"/>
                  <w:tcBorders>
                    <w:top w:val="nil"/>
                    <w:left w:val="nil"/>
                    <w:bottom w:val="single" w:sz="4" w:space="0" w:color="auto"/>
                    <w:right w:val="single" w:sz="4" w:space="0" w:color="auto"/>
                  </w:tcBorders>
                  <w:shd w:val="clear" w:color="auto" w:fill="F2F2F2" w:themeFill="background1" w:themeFillShade="F2"/>
                  <w:vAlign w:val="center"/>
                  <w:hideMark/>
                </w:tcPr>
                <w:p w14:paraId="545199BD" w14:textId="77777777" w:rsidR="00A050AE" w:rsidRPr="00DD57E3" w:rsidRDefault="00A050AE" w:rsidP="00A050AE">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43</w:t>
                  </w:r>
                </w:p>
              </w:tc>
              <w:tc>
                <w:tcPr>
                  <w:tcW w:w="497" w:type="pct"/>
                  <w:tcBorders>
                    <w:top w:val="nil"/>
                    <w:left w:val="nil"/>
                    <w:bottom w:val="single" w:sz="4" w:space="0" w:color="auto"/>
                    <w:right w:val="single" w:sz="4" w:space="0" w:color="auto"/>
                  </w:tcBorders>
                  <w:shd w:val="clear" w:color="auto" w:fill="F2F2F2" w:themeFill="background1" w:themeFillShade="F2"/>
                  <w:vAlign w:val="center"/>
                  <w:hideMark/>
                </w:tcPr>
                <w:p w14:paraId="5983C685" w14:textId="77777777" w:rsidR="00A050AE" w:rsidRPr="00DD57E3" w:rsidRDefault="00A050AE" w:rsidP="00A050AE">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437" w:type="pct"/>
                  <w:tcBorders>
                    <w:top w:val="nil"/>
                    <w:left w:val="nil"/>
                    <w:bottom w:val="single" w:sz="4" w:space="0" w:color="auto"/>
                    <w:right w:val="single" w:sz="4" w:space="0" w:color="auto"/>
                  </w:tcBorders>
                  <w:shd w:val="clear" w:color="auto" w:fill="F2F2F2" w:themeFill="background1" w:themeFillShade="F2"/>
                  <w:vAlign w:val="center"/>
                  <w:hideMark/>
                </w:tcPr>
                <w:p w14:paraId="2F63B482" w14:textId="77777777" w:rsidR="00A050AE" w:rsidRPr="00DD57E3" w:rsidRDefault="00A050AE" w:rsidP="00A050AE">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209</w:t>
                  </w:r>
                </w:p>
              </w:tc>
              <w:tc>
                <w:tcPr>
                  <w:tcW w:w="497" w:type="pct"/>
                  <w:tcBorders>
                    <w:top w:val="nil"/>
                    <w:left w:val="nil"/>
                    <w:bottom w:val="single" w:sz="4" w:space="0" w:color="auto"/>
                    <w:right w:val="single" w:sz="4" w:space="0" w:color="auto"/>
                  </w:tcBorders>
                  <w:shd w:val="clear" w:color="auto" w:fill="F2F2F2" w:themeFill="background1" w:themeFillShade="F2"/>
                  <w:vAlign w:val="center"/>
                  <w:hideMark/>
                </w:tcPr>
                <w:p w14:paraId="1F10B10D" w14:textId="77777777" w:rsidR="00A050AE" w:rsidRPr="00DD57E3" w:rsidRDefault="00A050AE" w:rsidP="00A050AE">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367</w:t>
                  </w:r>
                </w:p>
              </w:tc>
            </w:tr>
            <w:tr w:rsidR="00557A20" w:rsidRPr="00DD57E3" w14:paraId="4AF90115" w14:textId="77777777" w:rsidTr="00557A20">
              <w:trPr>
                <w:trHeight w:val="20"/>
              </w:trPr>
              <w:tc>
                <w:tcPr>
                  <w:tcW w:w="2101" w:type="pct"/>
                  <w:tcBorders>
                    <w:top w:val="nil"/>
                    <w:left w:val="single" w:sz="4" w:space="0" w:color="auto"/>
                    <w:bottom w:val="single" w:sz="4" w:space="0" w:color="auto"/>
                    <w:right w:val="single" w:sz="4" w:space="0" w:color="auto"/>
                  </w:tcBorders>
                  <w:shd w:val="clear" w:color="000000" w:fill="D9D9D9"/>
                  <w:vAlign w:val="center"/>
                  <w:hideMark/>
                </w:tcPr>
                <w:p w14:paraId="4BBDEECA" w14:textId="77777777" w:rsidR="0003488E" w:rsidRPr="00DD57E3" w:rsidRDefault="0003488E" w:rsidP="00A050AE">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Tip achiziție</w:t>
                  </w:r>
                </w:p>
                <w:p w14:paraId="76339B3C" w14:textId="58F46635" w:rsidR="0003488E" w:rsidRPr="00DD57E3" w:rsidRDefault="0003488E" w:rsidP="00A050AE">
                  <w:pPr>
                    <w:spacing w:after="0" w:line="240" w:lineRule="auto"/>
                    <w:rPr>
                      <w:rFonts w:ascii="Times New Roman" w:eastAsia="Times New Roman" w:hAnsi="Times New Roman" w:cs="Times New Roman"/>
                      <w:color w:val="000000"/>
                      <w:sz w:val="18"/>
                      <w:szCs w:val="18"/>
                      <w:lang w:val="ro-MD"/>
                    </w:rPr>
                  </w:pPr>
                </w:p>
              </w:tc>
              <w:tc>
                <w:tcPr>
                  <w:tcW w:w="1077" w:type="pct"/>
                  <w:gridSpan w:val="2"/>
                  <w:tcBorders>
                    <w:top w:val="single" w:sz="4" w:space="0" w:color="auto"/>
                    <w:left w:val="nil"/>
                    <w:bottom w:val="single" w:sz="4" w:space="0" w:color="auto"/>
                    <w:right w:val="single" w:sz="4" w:space="0" w:color="000000"/>
                  </w:tcBorders>
                  <w:shd w:val="clear" w:color="000000" w:fill="D9D9D9"/>
                  <w:vAlign w:val="center"/>
                  <w:hideMark/>
                </w:tcPr>
                <w:p w14:paraId="34D73818" w14:textId="6A39346F" w:rsidR="0003488E" w:rsidRPr="00DD57E3" w:rsidRDefault="002D6F1D" w:rsidP="00A050AE">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 xml:space="preserve">VU </w:t>
                  </w:r>
                  <w:r w:rsidR="0003488E" w:rsidRPr="00DD57E3">
                    <w:rPr>
                      <w:rFonts w:ascii="Times New Roman" w:eastAsia="Times New Roman" w:hAnsi="Times New Roman" w:cs="Times New Roman"/>
                      <w:color w:val="000000"/>
                      <w:sz w:val="18"/>
                      <w:szCs w:val="18"/>
                      <w:lang w:val="ro-MD"/>
                    </w:rPr>
                    <w:t>(M1 si M2 si N1)</w:t>
                  </w:r>
                </w:p>
              </w:tc>
              <w:tc>
                <w:tcPr>
                  <w:tcW w:w="887" w:type="pct"/>
                  <w:gridSpan w:val="2"/>
                  <w:tcBorders>
                    <w:top w:val="single" w:sz="4" w:space="0" w:color="auto"/>
                    <w:left w:val="nil"/>
                    <w:bottom w:val="single" w:sz="4" w:space="0" w:color="auto"/>
                    <w:right w:val="single" w:sz="4" w:space="0" w:color="000000"/>
                  </w:tcBorders>
                  <w:shd w:val="clear" w:color="000000" w:fill="D9D9D9"/>
                  <w:vAlign w:val="center"/>
                  <w:hideMark/>
                </w:tcPr>
                <w:p w14:paraId="3F8FCEC1" w14:textId="2F9D86C1" w:rsidR="0003488E" w:rsidRPr="00DD57E3" w:rsidRDefault="0003488E" w:rsidP="00A050AE">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V</w:t>
                  </w:r>
                  <w:r w:rsidR="002D6F1D" w:rsidRPr="00DD57E3">
                    <w:rPr>
                      <w:rFonts w:ascii="Times New Roman" w:eastAsia="Times New Roman" w:hAnsi="Times New Roman" w:cs="Times New Roman"/>
                      <w:color w:val="000000"/>
                      <w:sz w:val="18"/>
                      <w:szCs w:val="18"/>
                      <w:lang w:val="ro-MD"/>
                    </w:rPr>
                    <w:t>G</w:t>
                  </w:r>
                  <w:r w:rsidRPr="00DD57E3">
                    <w:rPr>
                      <w:rFonts w:ascii="Times New Roman" w:eastAsia="Times New Roman" w:hAnsi="Times New Roman" w:cs="Times New Roman"/>
                      <w:color w:val="000000"/>
                      <w:sz w:val="18"/>
                      <w:szCs w:val="18"/>
                      <w:lang w:val="ro-MD"/>
                    </w:rPr>
                    <w:t xml:space="preserve"> (N2 si N3)</w:t>
                  </w:r>
                </w:p>
              </w:tc>
              <w:tc>
                <w:tcPr>
                  <w:tcW w:w="934" w:type="pct"/>
                  <w:gridSpan w:val="2"/>
                  <w:tcBorders>
                    <w:top w:val="single" w:sz="4" w:space="0" w:color="auto"/>
                    <w:left w:val="nil"/>
                    <w:bottom w:val="single" w:sz="4" w:space="0" w:color="auto"/>
                    <w:right w:val="single" w:sz="4" w:space="0" w:color="000000"/>
                  </w:tcBorders>
                  <w:shd w:val="clear" w:color="000000" w:fill="D9D9D9"/>
                  <w:vAlign w:val="center"/>
                  <w:hideMark/>
                </w:tcPr>
                <w:p w14:paraId="0AFB9A62" w14:textId="49475A54" w:rsidR="0003488E" w:rsidRPr="00DD57E3" w:rsidRDefault="0003488E" w:rsidP="00A050AE">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BUS (M3)</w:t>
                  </w:r>
                </w:p>
              </w:tc>
            </w:tr>
            <w:tr w:rsidR="00C77F46" w:rsidRPr="00DD57E3" w14:paraId="4749C42D" w14:textId="77777777" w:rsidTr="00557A20">
              <w:trPr>
                <w:trHeight w:val="20"/>
              </w:trPr>
              <w:tc>
                <w:tcPr>
                  <w:tcW w:w="2101" w:type="pct"/>
                  <w:tcBorders>
                    <w:top w:val="nil"/>
                    <w:left w:val="single" w:sz="4" w:space="0" w:color="auto"/>
                    <w:bottom w:val="single" w:sz="4" w:space="0" w:color="auto"/>
                    <w:right w:val="single" w:sz="4" w:space="0" w:color="auto"/>
                  </w:tcBorders>
                  <w:shd w:val="clear" w:color="000000" w:fill="D9D9D9"/>
                  <w:vAlign w:val="center"/>
                  <w:hideMark/>
                </w:tcPr>
                <w:p w14:paraId="79D753A4" w14:textId="77777777" w:rsidR="0003488E" w:rsidRPr="00DD57E3" w:rsidRDefault="0003488E" w:rsidP="00A050AE">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 </w:t>
                  </w:r>
                </w:p>
                <w:p w14:paraId="53C7531B" w14:textId="1067D15B" w:rsidR="0003488E" w:rsidRPr="00DD57E3" w:rsidRDefault="0003488E" w:rsidP="00A050AE">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 </w:t>
                  </w:r>
                </w:p>
              </w:tc>
              <w:tc>
                <w:tcPr>
                  <w:tcW w:w="524" w:type="pct"/>
                  <w:tcBorders>
                    <w:top w:val="nil"/>
                    <w:left w:val="nil"/>
                    <w:bottom w:val="single" w:sz="4" w:space="0" w:color="auto"/>
                    <w:right w:val="single" w:sz="4" w:space="0" w:color="auto"/>
                  </w:tcBorders>
                  <w:shd w:val="clear" w:color="000000" w:fill="D9D9D9"/>
                  <w:vAlign w:val="center"/>
                  <w:hideMark/>
                </w:tcPr>
                <w:p w14:paraId="20CC2227" w14:textId="77777777" w:rsidR="0003488E" w:rsidRPr="00DD57E3" w:rsidRDefault="0003488E" w:rsidP="00A050AE">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553" w:type="pct"/>
                  <w:tcBorders>
                    <w:top w:val="nil"/>
                    <w:left w:val="nil"/>
                    <w:bottom w:val="single" w:sz="4" w:space="0" w:color="auto"/>
                    <w:right w:val="single" w:sz="4" w:space="0" w:color="auto"/>
                  </w:tcBorders>
                  <w:shd w:val="clear" w:color="000000" w:fill="D9D9D9"/>
                  <w:vAlign w:val="center"/>
                  <w:hideMark/>
                </w:tcPr>
                <w:p w14:paraId="524708DC" w14:textId="77777777" w:rsidR="0003488E" w:rsidRPr="00DD57E3" w:rsidRDefault="0003488E" w:rsidP="00A050AE">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390" w:type="pct"/>
                  <w:tcBorders>
                    <w:top w:val="nil"/>
                    <w:left w:val="nil"/>
                    <w:bottom w:val="single" w:sz="4" w:space="0" w:color="auto"/>
                    <w:right w:val="single" w:sz="4" w:space="0" w:color="auto"/>
                  </w:tcBorders>
                  <w:shd w:val="clear" w:color="000000" w:fill="D9D9D9"/>
                  <w:vAlign w:val="center"/>
                  <w:hideMark/>
                </w:tcPr>
                <w:p w14:paraId="0A2BBFD5" w14:textId="77777777" w:rsidR="0003488E" w:rsidRPr="00DD57E3" w:rsidRDefault="0003488E" w:rsidP="00A050AE">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497" w:type="pct"/>
                  <w:tcBorders>
                    <w:top w:val="nil"/>
                    <w:left w:val="nil"/>
                    <w:bottom w:val="single" w:sz="4" w:space="0" w:color="auto"/>
                    <w:right w:val="single" w:sz="4" w:space="0" w:color="auto"/>
                  </w:tcBorders>
                  <w:shd w:val="clear" w:color="000000" w:fill="D9D9D9"/>
                  <w:vAlign w:val="center"/>
                  <w:hideMark/>
                </w:tcPr>
                <w:p w14:paraId="4B6B1509" w14:textId="77777777" w:rsidR="0003488E" w:rsidRPr="00DD57E3" w:rsidRDefault="0003488E" w:rsidP="00A050AE">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437" w:type="pct"/>
                  <w:tcBorders>
                    <w:top w:val="nil"/>
                    <w:left w:val="nil"/>
                    <w:bottom w:val="single" w:sz="4" w:space="0" w:color="auto"/>
                    <w:right w:val="single" w:sz="4" w:space="0" w:color="auto"/>
                  </w:tcBorders>
                  <w:shd w:val="clear" w:color="000000" w:fill="D9D9D9"/>
                  <w:vAlign w:val="center"/>
                  <w:hideMark/>
                </w:tcPr>
                <w:p w14:paraId="6612DF1F" w14:textId="77777777" w:rsidR="0003488E" w:rsidRPr="00DD57E3" w:rsidRDefault="0003488E" w:rsidP="00A050AE">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497" w:type="pct"/>
                  <w:tcBorders>
                    <w:top w:val="nil"/>
                    <w:left w:val="nil"/>
                    <w:bottom w:val="single" w:sz="4" w:space="0" w:color="auto"/>
                    <w:right w:val="single" w:sz="4" w:space="0" w:color="auto"/>
                  </w:tcBorders>
                  <w:shd w:val="clear" w:color="000000" w:fill="D9D9D9"/>
                  <w:vAlign w:val="center"/>
                  <w:hideMark/>
                </w:tcPr>
                <w:p w14:paraId="7D0694D4" w14:textId="77777777" w:rsidR="0003488E" w:rsidRPr="00DD57E3" w:rsidRDefault="0003488E" w:rsidP="00A050AE">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r>
            <w:tr w:rsidR="00C77F46" w:rsidRPr="00DD57E3" w14:paraId="117FA2C9" w14:textId="77777777" w:rsidTr="00557A20">
              <w:trPr>
                <w:trHeight w:val="20"/>
              </w:trPr>
              <w:tc>
                <w:tcPr>
                  <w:tcW w:w="2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74DF5" w14:textId="044610C1"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 xml:space="preserve">a) contracte de </w:t>
                  </w:r>
                  <w:r w:rsidRPr="00DD57E3">
                    <w:rPr>
                      <w:rFonts w:ascii="Times New Roman" w:eastAsia="Times New Roman" w:hAnsi="Times New Roman" w:cs="Times New Roman"/>
                      <w:sz w:val="18"/>
                      <w:szCs w:val="18"/>
                      <w:lang w:val="ro-MD"/>
                    </w:rPr>
                    <w:t xml:space="preserve">cumpărare, leasing, închiriere sau cumpărare cu plata în rate de vehicule </w:t>
                  </w:r>
                  <w:r w:rsidRPr="00DD57E3">
                    <w:rPr>
                      <w:rFonts w:ascii="Times New Roman" w:eastAsia="Times New Roman" w:hAnsi="Times New Roman" w:cs="Times New Roman"/>
                      <w:color w:val="000000"/>
                      <w:sz w:val="18"/>
                      <w:szCs w:val="18"/>
                      <w:lang w:val="ro-MD"/>
                    </w:rPr>
                    <w:t xml:space="preserve">de transport rutier atribuite de </w:t>
                  </w:r>
                  <w:r w:rsidR="00530F2F" w:rsidRPr="00DD57E3">
                    <w:rPr>
                      <w:rFonts w:ascii="Times New Roman" w:eastAsia="Times New Roman" w:hAnsi="Times New Roman" w:cs="Times New Roman"/>
                      <w:color w:val="000000"/>
                      <w:sz w:val="18"/>
                      <w:szCs w:val="18"/>
                      <w:lang w:val="ro-MD"/>
                    </w:rPr>
                    <w:t>autorități</w:t>
                  </w:r>
                  <w:r w:rsidRPr="00DD57E3">
                    <w:rPr>
                      <w:rFonts w:ascii="Times New Roman" w:eastAsia="Times New Roman" w:hAnsi="Times New Roman" w:cs="Times New Roman"/>
                      <w:color w:val="000000"/>
                      <w:sz w:val="18"/>
                      <w:szCs w:val="18"/>
                      <w:lang w:val="ro-MD"/>
                    </w:rPr>
                    <w:t xml:space="preserve"> contractante sau </w:t>
                  </w:r>
                  <w:r w:rsidR="00530F2F" w:rsidRPr="00DD57E3">
                    <w:rPr>
                      <w:rFonts w:ascii="Times New Roman" w:eastAsia="Times New Roman" w:hAnsi="Times New Roman" w:cs="Times New Roman"/>
                      <w:color w:val="000000"/>
                      <w:sz w:val="18"/>
                      <w:szCs w:val="18"/>
                      <w:lang w:val="ro-MD"/>
                    </w:rPr>
                    <w:t>entități</w:t>
                  </w:r>
                  <w:r w:rsidRPr="00DD57E3">
                    <w:rPr>
                      <w:rFonts w:ascii="Times New Roman" w:eastAsia="Times New Roman" w:hAnsi="Times New Roman" w:cs="Times New Roman"/>
                      <w:color w:val="000000"/>
                      <w:sz w:val="18"/>
                      <w:szCs w:val="18"/>
                      <w:lang w:val="ro-MD"/>
                    </w:rPr>
                    <w:t xml:space="preserve"> contractante în măsura în care acestea intră sub </w:t>
                  </w:r>
                  <w:r w:rsidR="00557A20" w:rsidRPr="00DD57E3">
                    <w:rPr>
                      <w:rFonts w:ascii="Times New Roman" w:eastAsia="Times New Roman" w:hAnsi="Times New Roman" w:cs="Times New Roman"/>
                      <w:color w:val="000000"/>
                      <w:sz w:val="18"/>
                      <w:szCs w:val="18"/>
                      <w:lang w:val="ro-MD"/>
                    </w:rPr>
                    <w:t>incidența</w:t>
                  </w:r>
                  <w:r w:rsidRPr="00DD57E3">
                    <w:rPr>
                      <w:rFonts w:ascii="Times New Roman" w:eastAsia="Times New Roman" w:hAnsi="Times New Roman" w:cs="Times New Roman"/>
                      <w:color w:val="000000"/>
                      <w:sz w:val="18"/>
                      <w:szCs w:val="18"/>
                      <w:lang w:val="ro-MD"/>
                    </w:rPr>
                    <w:t xml:space="preserve"> </w:t>
                  </w:r>
                  <w:r w:rsidR="00557A20" w:rsidRPr="00DD57E3">
                    <w:rPr>
                      <w:rFonts w:ascii="Times New Roman" w:eastAsia="Times New Roman" w:hAnsi="Times New Roman" w:cs="Times New Roman"/>
                      <w:color w:val="000000"/>
                      <w:sz w:val="18"/>
                      <w:szCs w:val="18"/>
                      <w:lang w:val="ro-MD"/>
                    </w:rPr>
                    <w:t>obligației</w:t>
                  </w:r>
                  <w:r w:rsidRPr="00DD57E3">
                    <w:rPr>
                      <w:rFonts w:ascii="Times New Roman" w:eastAsia="Times New Roman" w:hAnsi="Times New Roman" w:cs="Times New Roman"/>
                      <w:color w:val="000000"/>
                      <w:sz w:val="18"/>
                      <w:szCs w:val="18"/>
                      <w:lang w:val="ro-MD"/>
                    </w:rPr>
                    <w:t xml:space="preserve"> de a aplica procedurile de </w:t>
                  </w:r>
                  <w:r w:rsidR="00557A20" w:rsidRPr="00DD57E3">
                    <w:rPr>
                      <w:rFonts w:ascii="Times New Roman" w:eastAsia="Times New Roman" w:hAnsi="Times New Roman" w:cs="Times New Roman"/>
                      <w:color w:val="000000"/>
                      <w:sz w:val="18"/>
                      <w:szCs w:val="18"/>
                      <w:lang w:val="ro-MD"/>
                    </w:rPr>
                    <w:t>achiziții</w:t>
                  </w:r>
                  <w:r w:rsidRPr="00DD57E3">
                    <w:rPr>
                      <w:rFonts w:ascii="Times New Roman" w:eastAsia="Times New Roman" w:hAnsi="Times New Roman" w:cs="Times New Roman"/>
                      <w:color w:val="000000"/>
                      <w:sz w:val="18"/>
                      <w:szCs w:val="18"/>
                      <w:lang w:val="ro-MD"/>
                    </w:rPr>
                    <w:t xml:space="preserve"> publice prevăzute în Directivele 2014/24/UE ( 2 ) și 2014/25/UE ( 3 ) ale Parlamentului European și ale Consiliului</w:t>
                  </w:r>
                </w:p>
              </w:tc>
              <w:tc>
                <w:tcPr>
                  <w:tcW w:w="524" w:type="pct"/>
                  <w:tcBorders>
                    <w:top w:val="nil"/>
                    <w:left w:val="nil"/>
                    <w:bottom w:val="single" w:sz="4" w:space="0" w:color="auto"/>
                    <w:right w:val="single" w:sz="4" w:space="0" w:color="auto"/>
                  </w:tcBorders>
                  <w:shd w:val="clear" w:color="auto" w:fill="auto"/>
                  <w:vAlign w:val="center"/>
                  <w:hideMark/>
                </w:tcPr>
                <w:p w14:paraId="08E668CE" w14:textId="53A42D88"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419</w:t>
                  </w:r>
                </w:p>
              </w:tc>
              <w:tc>
                <w:tcPr>
                  <w:tcW w:w="553" w:type="pct"/>
                  <w:tcBorders>
                    <w:top w:val="nil"/>
                    <w:left w:val="nil"/>
                    <w:bottom w:val="single" w:sz="4" w:space="0" w:color="auto"/>
                    <w:right w:val="single" w:sz="4" w:space="0" w:color="auto"/>
                  </w:tcBorders>
                  <w:shd w:val="clear" w:color="auto" w:fill="auto"/>
                  <w:vAlign w:val="center"/>
                  <w:hideMark/>
                </w:tcPr>
                <w:p w14:paraId="0A4F59AE" w14:textId="5986A0FF"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390" w:type="pct"/>
                  <w:tcBorders>
                    <w:top w:val="nil"/>
                    <w:left w:val="nil"/>
                    <w:bottom w:val="single" w:sz="4" w:space="0" w:color="auto"/>
                    <w:right w:val="single" w:sz="4" w:space="0" w:color="auto"/>
                  </w:tcBorders>
                  <w:shd w:val="clear" w:color="auto" w:fill="auto"/>
                  <w:vAlign w:val="center"/>
                  <w:hideMark/>
                </w:tcPr>
                <w:p w14:paraId="213011D6" w14:textId="21FED18D"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24</w:t>
                  </w:r>
                </w:p>
              </w:tc>
              <w:tc>
                <w:tcPr>
                  <w:tcW w:w="497" w:type="pct"/>
                  <w:tcBorders>
                    <w:top w:val="nil"/>
                    <w:left w:val="nil"/>
                    <w:bottom w:val="single" w:sz="4" w:space="0" w:color="auto"/>
                    <w:right w:val="single" w:sz="4" w:space="0" w:color="auto"/>
                  </w:tcBorders>
                  <w:shd w:val="clear" w:color="auto" w:fill="auto"/>
                  <w:vAlign w:val="center"/>
                  <w:hideMark/>
                </w:tcPr>
                <w:p w14:paraId="4C29019E" w14:textId="4039B44E"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437" w:type="pct"/>
                  <w:tcBorders>
                    <w:top w:val="nil"/>
                    <w:left w:val="nil"/>
                    <w:bottom w:val="single" w:sz="4" w:space="0" w:color="auto"/>
                    <w:right w:val="single" w:sz="4" w:space="0" w:color="auto"/>
                  </w:tcBorders>
                  <w:shd w:val="clear" w:color="auto" w:fill="auto"/>
                  <w:vAlign w:val="center"/>
                  <w:hideMark/>
                </w:tcPr>
                <w:p w14:paraId="5C2FD570" w14:textId="6C4CD344"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4</w:t>
                  </w:r>
                </w:p>
              </w:tc>
              <w:tc>
                <w:tcPr>
                  <w:tcW w:w="497" w:type="pct"/>
                  <w:tcBorders>
                    <w:top w:val="nil"/>
                    <w:left w:val="nil"/>
                    <w:bottom w:val="single" w:sz="4" w:space="0" w:color="auto"/>
                    <w:right w:val="single" w:sz="4" w:space="0" w:color="auto"/>
                  </w:tcBorders>
                  <w:shd w:val="clear" w:color="auto" w:fill="auto"/>
                  <w:vAlign w:val="center"/>
                  <w:hideMark/>
                </w:tcPr>
                <w:p w14:paraId="321C1356" w14:textId="0D73836C"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0</w:t>
                  </w:r>
                </w:p>
              </w:tc>
            </w:tr>
            <w:tr w:rsidR="00C77F46" w:rsidRPr="00DD57E3" w14:paraId="3194DA7A" w14:textId="77777777" w:rsidTr="00557A20">
              <w:trPr>
                <w:trHeight w:val="20"/>
              </w:trPr>
              <w:tc>
                <w:tcPr>
                  <w:tcW w:w="2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91BBF" w14:textId="7905C9BB"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 xml:space="preserve">b) contracte de servicii publice în sensul </w:t>
                  </w:r>
                  <w:r w:rsidR="00530F2F" w:rsidRPr="00DD57E3">
                    <w:rPr>
                      <w:rFonts w:ascii="Times New Roman" w:eastAsia="Times New Roman" w:hAnsi="Times New Roman" w:cs="Times New Roman"/>
                      <w:color w:val="000000"/>
                      <w:sz w:val="18"/>
                      <w:szCs w:val="18"/>
                      <w:lang w:val="ro-MD"/>
                    </w:rPr>
                    <w:t>definiției</w:t>
                  </w:r>
                  <w:r w:rsidRPr="00DD57E3">
                    <w:rPr>
                      <w:rFonts w:ascii="Times New Roman" w:eastAsia="Times New Roman" w:hAnsi="Times New Roman" w:cs="Times New Roman"/>
                      <w:color w:val="000000"/>
                      <w:sz w:val="18"/>
                      <w:szCs w:val="18"/>
                      <w:lang w:val="ro-MD"/>
                    </w:rPr>
                    <w:t xml:space="preserve"> din Regulamentul (CE) nr. 1370/2007 al Parlamentului European și al Consiliului ( 1 ) având ca obiect prestarea de servicii de transport rutier de pasageri care depășesc un prag care este definit de statele membre fără a se depăși valoarea maximă aplicabilă prevăzută la articolul 5 alineatul (4) din regulamentul respectiv</w:t>
                  </w:r>
                </w:p>
              </w:tc>
              <w:tc>
                <w:tcPr>
                  <w:tcW w:w="524" w:type="pct"/>
                  <w:tcBorders>
                    <w:top w:val="nil"/>
                    <w:left w:val="nil"/>
                    <w:bottom w:val="single" w:sz="4" w:space="0" w:color="auto"/>
                    <w:right w:val="single" w:sz="4" w:space="0" w:color="auto"/>
                  </w:tcBorders>
                  <w:shd w:val="clear" w:color="auto" w:fill="auto"/>
                  <w:vAlign w:val="center"/>
                  <w:hideMark/>
                </w:tcPr>
                <w:p w14:paraId="091A2E9B" w14:textId="0C2CA371"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553" w:type="pct"/>
                  <w:tcBorders>
                    <w:top w:val="nil"/>
                    <w:left w:val="nil"/>
                    <w:bottom w:val="single" w:sz="4" w:space="0" w:color="auto"/>
                    <w:right w:val="single" w:sz="4" w:space="0" w:color="auto"/>
                  </w:tcBorders>
                  <w:shd w:val="clear" w:color="auto" w:fill="auto"/>
                  <w:vAlign w:val="center"/>
                  <w:hideMark/>
                </w:tcPr>
                <w:p w14:paraId="4C7A96F9" w14:textId="7A7F2B48"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390" w:type="pct"/>
                  <w:tcBorders>
                    <w:top w:val="nil"/>
                    <w:left w:val="nil"/>
                    <w:bottom w:val="single" w:sz="4" w:space="0" w:color="auto"/>
                    <w:right w:val="single" w:sz="4" w:space="0" w:color="auto"/>
                  </w:tcBorders>
                  <w:shd w:val="clear" w:color="auto" w:fill="auto"/>
                  <w:vAlign w:val="center"/>
                  <w:hideMark/>
                </w:tcPr>
                <w:p w14:paraId="15FE9DCF" w14:textId="1FF6C44F"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497" w:type="pct"/>
                  <w:tcBorders>
                    <w:top w:val="nil"/>
                    <w:left w:val="nil"/>
                    <w:bottom w:val="single" w:sz="4" w:space="0" w:color="auto"/>
                    <w:right w:val="single" w:sz="4" w:space="0" w:color="auto"/>
                  </w:tcBorders>
                  <w:shd w:val="clear" w:color="auto" w:fill="auto"/>
                  <w:vAlign w:val="center"/>
                  <w:hideMark/>
                </w:tcPr>
                <w:p w14:paraId="63F8CF63" w14:textId="1E6E6DAC" w:rsidR="00D80E56" w:rsidRPr="00DD57E3" w:rsidRDefault="00D80E56" w:rsidP="00D80E56">
                  <w:pPr>
                    <w:spacing w:after="0" w:line="240" w:lineRule="auto"/>
                    <w:jc w:val="both"/>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437" w:type="pct"/>
                  <w:tcBorders>
                    <w:top w:val="nil"/>
                    <w:left w:val="nil"/>
                    <w:bottom w:val="single" w:sz="4" w:space="0" w:color="auto"/>
                    <w:right w:val="single" w:sz="4" w:space="0" w:color="auto"/>
                  </w:tcBorders>
                  <w:shd w:val="clear" w:color="auto" w:fill="auto"/>
                  <w:vAlign w:val="center"/>
                  <w:hideMark/>
                </w:tcPr>
                <w:p w14:paraId="5B38E3DA" w14:textId="6F05D9BD"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205</w:t>
                  </w:r>
                </w:p>
              </w:tc>
              <w:tc>
                <w:tcPr>
                  <w:tcW w:w="497" w:type="pct"/>
                  <w:tcBorders>
                    <w:top w:val="nil"/>
                    <w:left w:val="nil"/>
                    <w:bottom w:val="single" w:sz="4" w:space="0" w:color="auto"/>
                    <w:right w:val="single" w:sz="4" w:space="0" w:color="auto"/>
                  </w:tcBorders>
                  <w:shd w:val="clear" w:color="auto" w:fill="auto"/>
                  <w:vAlign w:val="center"/>
                  <w:hideMark/>
                </w:tcPr>
                <w:p w14:paraId="308A08B3" w14:textId="7F1D9B8C" w:rsidR="00D80E56" w:rsidRPr="00DD57E3" w:rsidRDefault="00D80E56" w:rsidP="00D80E56">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b/>
                      <w:color w:val="000000"/>
                      <w:sz w:val="18"/>
                      <w:szCs w:val="18"/>
                      <w:lang w:val="ro-MD"/>
                    </w:rPr>
                    <w:t>367</w:t>
                  </w:r>
                </w:p>
              </w:tc>
            </w:tr>
            <w:tr w:rsidR="00C77F46" w:rsidRPr="00DD57E3" w14:paraId="4F6F0CBA" w14:textId="77777777" w:rsidTr="00557A20">
              <w:trPr>
                <w:trHeight w:val="748"/>
              </w:trPr>
              <w:tc>
                <w:tcPr>
                  <w:tcW w:w="2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465DA" w14:textId="77777777" w:rsidR="00A050AE" w:rsidRPr="00DD57E3" w:rsidRDefault="00A050AE" w:rsidP="00A050AE">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lastRenderedPageBreak/>
                    <w:t>(c) contracte de servicii prevăzute în tabelul 1 din anexa la Directiva 2009/33</w:t>
                  </w:r>
                </w:p>
              </w:tc>
              <w:tc>
                <w:tcPr>
                  <w:tcW w:w="524" w:type="pct"/>
                  <w:tcBorders>
                    <w:top w:val="nil"/>
                    <w:left w:val="nil"/>
                    <w:bottom w:val="single" w:sz="4" w:space="0" w:color="auto"/>
                    <w:right w:val="single" w:sz="4" w:space="0" w:color="auto"/>
                  </w:tcBorders>
                  <w:shd w:val="clear" w:color="auto" w:fill="auto"/>
                  <w:vAlign w:val="center"/>
                  <w:hideMark/>
                </w:tcPr>
                <w:p w14:paraId="1664380F" w14:textId="50C76791" w:rsidR="00A050AE" w:rsidRPr="00DD57E3" w:rsidRDefault="00D80E56" w:rsidP="00A050AE">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29</w:t>
                  </w:r>
                </w:p>
              </w:tc>
              <w:tc>
                <w:tcPr>
                  <w:tcW w:w="553" w:type="pct"/>
                  <w:tcBorders>
                    <w:top w:val="nil"/>
                    <w:left w:val="nil"/>
                    <w:bottom w:val="single" w:sz="4" w:space="0" w:color="auto"/>
                    <w:right w:val="single" w:sz="4" w:space="0" w:color="auto"/>
                  </w:tcBorders>
                  <w:shd w:val="clear" w:color="auto" w:fill="auto"/>
                  <w:vAlign w:val="center"/>
                  <w:hideMark/>
                </w:tcPr>
                <w:p w14:paraId="1DC76574" w14:textId="50A4C1C9" w:rsidR="00A050AE" w:rsidRPr="00DD57E3" w:rsidRDefault="00D80E56" w:rsidP="00A050AE">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390" w:type="pct"/>
                  <w:tcBorders>
                    <w:top w:val="nil"/>
                    <w:left w:val="nil"/>
                    <w:bottom w:val="single" w:sz="4" w:space="0" w:color="auto"/>
                    <w:right w:val="single" w:sz="4" w:space="0" w:color="auto"/>
                  </w:tcBorders>
                  <w:shd w:val="clear" w:color="auto" w:fill="auto"/>
                  <w:vAlign w:val="center"/>
                  <w:hideMark/>
                </w:tcPr>
                <w:p w14:paraId="058BC9FE" w14:textId="168997EE" w:rsidR="00A050AE" w:rsidRPr="00DD57E3" w:rsidRDefault="00D80E56" w:rsidP="00A050AE">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19</w:t>
                  </w:r>
                </w:p>
              </w:tc>
              <w:tc>
                <w:tcPr>
                  <w:tcW w:w="497" w:type="pct"/>
                  <w:tcBorders>
                    <w:top w:val="nil"/>
                    <w:left w:val="nil"/>
                    <w:bottom w:val="single" w:sz="4" w:space="0" w:color="auto"/>
                    <w:right w:val="single" w:sz="4" w:space="0" w:color="auto"/>
                  </w:tcBorders>
                  <w:shd w:val="clear" w:color="auto" w:fill="auto"/>
                  <w:vAlign w:val="center"/>
                  <w:hideMark/>
                </w:tcPr>
                <w:p w14:paraId="5ED0C740" w14:textId="51632A52" w:rsidR="00A050AE" w:rsidRPr="00DD57E3" w:rsidRDefault="00D80E56" w:rsidP="00A050AE">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437" w:type="pct"/>
                  <w:tcBorders>
                    <w:top w:val="nil"/>
                    <w:left w:val="nil"/>
                    <w:bottom w:val="single" w:sz="4" w:space="0" w:color="auto"/>
                    <w:right w:val="single" w:sz="4" w:space="0" w:color="auto"/>
                  </w:tcBorders>
                  <w:shd w:val="clear" w:color="auto" w:fill="auto"/>
                  <w:vAlign w:val="center"/>
                  <w:hideMark/>
                </w:tcPr>
                <w:p w14:paraId="0A78C203" w14:textId="2014B1A6" w:rsidR="00A050AE" w:rsidRPr="00DD57E3" w:rsidRDefault="00D80E56" w:rsidP="00A050AE">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0</w:t>
                  </w:r>
                </w:p>
              </w:tc>
              <w:tc>
                <w:tcPr>
                  <w:tcW w:w="497" w:type="pct"/>
                  <w:tcBorders>
                    <w:top w:val="nil"/>
                    <w:left w:val="nil"/>
                    <w:bottom w:val="single" w:sz="4" w:space="0" w:color="auto"/>
                    <w:right w:val="single" w:sz="4" w:space="0" w:color="auto"/>
                  </w:tcBorders>
                  <w:shd w:val="clear" w:color="auto" w:fill="auto"/>
                  <w:vAlign w:val="center"/>
                  <w:hideMark/>
                </w:tcPr>
                <w:p w14:paraId="55B7A5CF" w14:textId="7782BB73" w:rsidR="00A050AE" w:rsidRPr="00DD57E3" w:rsidRDefault="00D80E56" w:rsidP="00A050AE">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0</w:t>
                  </w:r>
                </w:p>
              </w:tc>
            </w:tr>
          </w:tbl>
          <w:p w14:paraId="39F67F42" w14:textId="1D56407D" w:rsidR="00CE1149" w:rsidRPr="00DD57E3" w:rsidRDefault="00CE1149" w:rsidP="00C108FB">
            <w:pPr>
              <w:pStyle w:val="a6"/>
              <w:spacing w:before="120" w:after="240"/>
              <w:ind w:firstLine="0"/>
              <w:rPr>
                <w:bCs/>
                <w:lang w:val="ro-MD"/>
              </w:rPr>
            </w:pPr>
            <w:r w:rsidRPr="00DD57E3">
              <w:rPr>
                <w:bCs/>
                <w:lang w:val="ro-MD"/>
              </w:rPr>
              <w:t xml:space="preserve">Un aspect semnificativ identificat în cadrul analizei este lipsa </w:t>
            </w:r>
            <w:r w:rsidR="00E36BBB" w:rsidRPr="00DD57E3">
              <w:rPr>
                <w:bCs/>
                <w:lang w:val="ro-MD"/>
              </w:rPr>
              <w:t>informațiilor detaliate</w:t>
            </w:r>
            <w:r w:rsidRPr="00DD57E3">
              <w:rPr>
                <w:bCs/>
                <w:lang w:val="ro-MD"/>
              </w:rPr>
              <w:t xml:space="preserve"> privind contractele de leasing, închiriere sau cumpărare cu plata în rate a vehiculelor rutiere, întrucât sistemul electronic al AAP nu permite colectarea acestor informații</w:t>
            </w:r>
            <w:r w:rsidR="00E36BBB" w:rsidRPr="00DD57E3">
              <w:rPr>
                <w:bCs/>
                <w:lang w:val="ro-MD"/>
              </w:rPr>
              <w:t>, precum informația despre locatar</w:t>
            </w:r>
            <w:r w:rsidRPr="00DD57E3">
              <w:rPr>
                <w:bCs/>
                <w:lang w:val="ro-MD"/>
              </w:rPr>
              <w:t xml:space="preserve">. Astfel, aceste tipuri de achiziții nu au </w:t>
            </w:r>
            <w:r w:rsidR="00E36BBB" w:rsidRPr="00DD57E3">
              <w:rPr>
                <w:bCs/>
                <w:lang w:val="ro-MD"/>
              </w:rPr>
              <w:t xml:space="preserve">putut fi </w:t>
            </w:r>
            <w:r w:rsidRPr="00DD57E3">
              <w:rPr>
                <w:bCs/>
                <w:lang w:val="ro-MD"/>
              </w:rPr>
              <w:t>incluse în analiză.</w:t>
            </w:r>
            <w:r w:rsidR="00E36BBB" w:rsidRPr="00DD57E3">
              <w:rPr>
                <w:bCs/>
                <w:lang w:val="ro-MD"/>
              </w:rPr>
              <w:t xml:space="preserve"> AAP urmează să identifice modalitatea de a monitoriza acest tip de contracte pentru raportarea ulterioară conform prevederilor Directivei.</w:t>
            </w:r>
          </w:p>
          <w:p w14:paraId="327995E6" w14:textId="77777777" w:rsidR="00CE1149" w:rsidRPr="00DD57E3" w:rsidRDefault="00CE1149" w:rsidP="00C108FB">
            <w:pPr>
              <w:pStyle w:val="a6"/>
              <w:spacing w:before="120"/>
              <w:ind w:firstLine="0"/>
              <w:rPr>
                <w:bCs/>
                <w:lang w:val="ro-MD"/>
              </w:rPr>
            </w:pPr>
            <w:r w:rsidRPr="00DD57E3">
              <w:rPr>
                <w:bCs/>
                <w:lang w:val="ro-MD"/>
              </w:rPr>
              <w:t>Rezultatele analizei reflectă o serie de deficiențe care impun necesitatea unei intervenții legislative:</w:t>
            </w:r>
          </w:p>
          <w:p w14:paraId="6AE64316" w14:textId="4B19CA06" w:rsidR="001311DD" w:rsidRPr="00DD57E3" w:rsidRDefault="001311DD" w:rsidP="00C108FB">
            <w:pPr>
              <w:pStyle w:val="a6"/>
              <w:numPr>
                <w:ilvl w:val="0"/>
                <w:numId w:val="19"/>
              </w:numPr>
              <w:rPr>
                <w:bCs/>
                <w:lang w:val="ro-MD"/>
              </w:rPr>
            </w:pPr>
            <w:r w:rsidRPr="00DD57E3">
              <w:rPr>
                <w:bCs/>
                <w:lang w:val="ro-MD"/>
              </w:rPr>
              <w:t>Limitări tehnice ale sistemului electronic al AAP, care nu permite extragerea automată a datelor necesare pentru o analiză rapidă. Această deficiență a impus verificarea manuală a fiecărei achiziții, ceea ce consumă resurse semnificative</w:t>
            </w:r>
            <w:r w:rsidR="00E36BBB" w:rsidRPr="00DD57E3">
              <w:rPr>
                <w:bCs/>
                <w:lang w:val="ro-MD"/>
              </w:rPr>
              <w:t>,</w:t>
            </w:r>
            <w:r w:rsidRPr="00DD57E3">
              <w:rPr>
                <w:bCs/>
                <w:lang w:val="ro-MD"/>
              </w:rPr>
              <w:t xml:space="preserve"> îngreunează monitorizarea și raportarea progresului în domeniul achizițiilor durabile</w:t>
            </w:r>
            <w:r w:rsidR="00E36BBB" w:rsidRPr="00DD57E3">
              <w:rPr>
                <w:bCs/>
                <w:lang w:val="ro-MD"/>
              </w:rPr>
              <w:t>, de asemenea există riscul omisiunilor.</w:t>
            </w:r>
          </w:p>
          <w:p w14:paraId="50AC31FC" w14:textId="77DC6AA2" w:rsidR="001311DD" w:rsidRPr="00DD57E3" w:rsidRDefault="001311DD" w:rsidP="00C108FB">
            <w:pPr>
              <w:pStyle w:val="a6"/>
              <w:numPr>
                <w:ilvl w:val="0"/>
                <w:numId w:val="19"/>
              </w:numPr>
              <w:rPr>
                <w:bCs/>
                <w:lang w:val="ro-MD"/>
              </w:rPr>
            </w:pPr>
            <w:r w:rsidRPr="00DD57E3">
              <w:rPr>
                <w:bCs/>
                <w:lang w:val="ro-MD"/>
              </w:rPr>
              <w:t>Nivel scăzut de disponibilitate a datelor privind achizițiile prin leasing, închiriere sau cumpărare cu plata în rate, ceea ce limitează posibilitatea unei evaluări complete a pieței.</w:t>
            </w:r>
          </w:p>
          <w:p w14:paraId="0FE64895" w14:textId="6A4818A4" w:rsidR="00CE1149" w:rsidRPr="00DD57E3" w:rsidRDefault="00CE1149" w:rsidP="00C108FB">
            <w:pPr>
              <w:pStyle w:val="a6"/>
              <w:numPr>
                <w:ilvl w:val="0"/>
                <w:numId w:val="19"/>
              </w:numPr>
              <w:rPr>
                <w:bCs/>
                <w:lang w:val="ro-MD"/>
              </w:rPr>
            </w:pPr>
            <w:r w:rsidRPr="00DD57E3">
              <w:rPr>
                <w:bCs/>
                <w:lang w:val="ro-MD"/>
              </w:rPr>
              <w:t>Lipsa cadrului normativ care să impună criterii obligatorii de durabilitate pentru achizițiile publice de vehicule rutiere, cu excepția unor prevederi generale în legislația privind achizițiile durabile.</w:t>
            </w:r>
          </w:p>
          <w:p w14:paraId="21FA3038" w14:textId="3301D5A6" w:rsidR="001F2EBE" w:rsidRPr="00DD57E3" w:rsidRDefault="00CE1149" w:rsidP="00C108FB">
            <w:pPr>
              <w:pStyle w:val="a6"/>
              <w:numPr>
                <w:ilvl w:val="0"/>
                <w:numId w:val="19"/>
              </w:numPr>
              <w:rPr>
                <w:bCs/>
                <w:lang w:val="ro-MD"/>
              </w:rPr>
            </w:pPr>
            <w:r w:rsidRPr="00DD57E3">
              <w:rPr>
                <w:bCs/>
                <w:lang w:val="ro-MD"/>
              </w:rPr>
              <w:t>Rată extrem de scăzută a achizițiilor de vehicule nepoluante, în special în categoriile M1, M2, N1, N2 și N3, unde nu s-au înregistrat achiziții relevante.</w:t>
            </w:r>
          </w:p>
          <w:p w14:paraId="476D3CBA" w14:textId="77777777" w:rsidR="00736040" w:rsidRPr="00DD57E3" w:rsidRDefault="00736040" w:rsidP="00C108FB">
            <w:pPr>
              <w:numPr>
                <w:ilvl w:val="0"/>
                <w:numId w:val="6"/>
              </w:numPr>
              <w:tabs>
                <w:tab w:val="left" w:pos="200"/>
                <w:tab w:val="left" w:pos="455"/>
                <w:tab w:val="left" w:pos="599"/>
                <w:tab w:val="left" w:pos="922"/>
              </w:tabs>
              <w:spacing w:before="240" w:after="0" w:line="240" w:lineRule="auto"/>
              <w:ind w:right="45" w:hanging="720"/>
              <w:jc w:val="both"/>
              <w:rPr>
                <w:b/>
                <w:bCs/>
                <w:i/>
                <w:iCs/>
                <w:lang w:val="ro-MD"/>
              </w:rPr>
            </w:pPr>
            <w:r w:rsidRPr="00DD57E3">
              <w:rPr>
                <w:rFonts w:ascii="Times New Roman" w:hAnsi="Times New Roman" w:cs="Times New Roman"/>
                <w:b/>
                <w:bCs/>
                <w:i/>
                <w:iCs/>
                <w:sz w:val="24"/>
                <w:szCs w:val="24"/>
                <w:lang w:val="ro-MD"/>
              </w:rPr>
              <w:t>Situația actuală a parcurilor de transport ale autorităților și entităților contractante</w:t>
            </w:r>
          </w:p>
          <w:p w14:paraId="00B349BD" w14:textId="39C01A84" w:rsidR="00736040" w:rsidRPr="00DD57E3" w:rsidRDefault="00736040" w:rsidP="00736040">
            <w:pPr>
              <w:pStyle w:val="a6"/>
              <w:spacing w:before="120"/>
              <w:ind w:firstLine="0"/>
              <w:rPr>
                <w:bCs/>
                <w:lang w:val="ro-MD"/>
              </w:rPr>
            </w:pPr>
            <w:r w:rsidRPr="00DD57E3">
              <w:rPr>
                <w:bCs/>
                <w:lang w:val="ro-MD"/>
              </w:rPr>
              <w:t>În afară de analiza achizițiilor recente, a fost evaluată și structura actuală a parcurilor auto deținute de autorități și entități contractante, pentru a estima impactul implementării Directivei 2009/33/CE.</w:t>
            </w:r>
          </w:p>
          <w:p w14:paraId="423FC642" w14:textId="02E5C990" w:rsidR="00420124" w:rsidRPr="00DD57E3" w:rsidRDefault="00420124" w:rsidP="00C108FB">
            <w:pPr>
              <w:pStyle w:val="a6"/>
              <w:spacing w:before="120"/>
              <w:ind w:firstLine="0"/>
              <w:rPr>
                <w:bCs/>
                <w:lang w:val="ro-MD"/>
              </w:rPr>
            </w:pPr>
            <w:r w:rsidRPr="00DD57E3">
              <w:rPr>
                <w:bCs/>
                <w:lang w:val="ro-MD"/>
              </w:rPr>
              <w:t>Datele privind numărul de autorități și entități contractante au fost preluate de pe portalul datelor deschise al Agenției Servicii Publice (ASP), iar informațiile referitoare la flota auto au fost obținute prin solicitare oficială către ASP.</w:t>
            </w:r>
          </w:p>
          <w:p w14:paraId="79209672" w14:textId="77777777" w:rsidR="00736040" w:rsidRPr="00DD57E3" w:rsidRDefault="00736040" w:rsidP="00C108FB">
            <w:pPr>
              <w:pStyle w:val="a6"/>
              <w:spacing w:before="120"/>
              <w:ind w:firstLine="0"/>
              <w:rPr>
                <w:bCs/>
                <w:lang w:val="ro-MD"/>
              </w:rPr>
            </w:pPr>
            <w:r w:rsidRPr="00DD57E3">
              <w:rPr>
                <w:bCs/>
                <w:lang w:val="ro-MD"/>
              </w:rPr>
              <w:t>În total, 3 025 de autorități și entități contractante vor intra sub incidența prevederilor legii, incluzând ministere, autorități publice locale (APL), agenții și administrații publice, întreprinderi de stat și municipale, instituții publice, societăți pe acțiuni cu capital majoritar de stat și alte organizații.</w:t>
            </w:r>
          </w:p>
          <w:p w14:paraId="00C02376" w14:textId="77777777" w:rsidR="00736040" w:rsidRPr="00DD57E3" w:rsidRDefault="00736040" w:rsidP="00C108FB">
            <w:pPr>
              <w:pStyle w:val="a6"/>
              <w:spacing w:before="120"/>
              <w:ind w:firstLine="0"/>
              <w:rPr>
                <w:bCs/>
                <w:lang w:val="ro-MD"/>
              </w:rPr>
            </w:pPr>
            <w:r w:rsidRPr="00DD57E3">
              <w:rPr>
                <w:bCs/>
                <w:lang w:val="ro-MD"/>
              </w:rPr>
              <w:t>Analiza parcurilor auto arată că un număr semnificativ de vehicule deținute de aceste entități nu corespund cerințelor de mediu stabilite prin Directivă:</w:t>
            </w:r>
          </w:p>
          <w:p w14:paraId="074500EB" w14:textId="39C42DE4" w:rsidR="00736040" w:rsidRPr="00DD57E3" w:rsidRDefault="00736040" w:rsidP="00C108FB">
            <w:pPr>
              <w:pStyle w:val="a6"/>
              <w:numPr>
                <w:ilvl w:val="0"/>
                <w:numId w:val="19"/>
              </w:numPr>
              <w:rPr>
                <w:bCs/>
                <w:lang w:val="ro-MD"/>
              </w:rPr>
            </w:pPr>
            <w:r w:rsidRPr="00DD57E3">
              <w:rPr>
                <w:bCs/>
                <w:lang w:val="ro-MD"/>
              </w:rPr>
              <w:t>Vehicule ușoare</w:t>
            </w:r>
            <w:r w:rsidR="007464A2" w:rsidRPr="00DD57E3">
              <w:rPr>
                <w:bCs/>
                <w:lang w:val="ro-MD"/>
              </w:rPr>
              <w:t xml:space="preserve"> (VU)</w:t>
            </w:r>
            <w:r w:rsidRPr="00DD57E3">
              <w:rPr>
                <w:bCs/>
                <w:lang w:val="ro-MD"/>
              </w:rPr>
              <w:t xml:space="preserve"> (M1, M2 și N1): </w:t>
            </w:r>
            <w:r w:rsidR="001F216F" w:rsidRPr="00DD57E3">
              <w:rPr>
                <w:bCs/>
                <w:lang w:val="ro-MD"/>
              </w:rPr>
              <w:t>6</w:t>
            </w:r>
            <w:r w:rsidRPr="00DD57E3">
              <w:rPr>
                <w:bCs/>
                <w:lang w:val="ro-MD"/>
              </w:rPr>
              <w:t xml:space="preserve"> </w:t>
            </w:r>
            <w:r w:rsidR="001F216F" w:rsidRPr="00DD57E3">
              <w:rPr>
                <w:bCs/>
                <w:lang w:val="ro-MD"/>
              </w:rPr>
              <w:t>032</w:t>
            </w:r>
            <w:r w:rsidRPr="00DD57E3">
              <w:rPr>
                <w:bCs/>
                <w:lang w:val="ro-MD"/>
              </w:rPr>
              <w:t xml:space="preserve"> unități, dintre care </w:t>
            </w:r>
            <w:r w:rsidR="001F216F" w:rsidRPr="00DD57E3">
              <w:rPr>
                <w:bCs/>
                <w:lang w:val="ro-MD"/>
              </w:rPr>
              <w:t>1 478</w:t>
            </w:r>
            <w:r w:rsidRPr="00DD57E3">
              <w:rPr>
                <w:bCs/>
                <w:lang w:val="ro-MD"/>
              </w:rPr>
              <w:t xml:space="preserve"> sunt mai vechi de 10 ani și pot necesita înnoire.</w:t>
            </w:r>
          </w:p>
          <w:p w14:paraId="7D40F40F" w14:textId="72F6056E" w:rsidR="00736040" w:rsidRPr="00DD57E3" w:rsidRDefault="00736040" w:rsidP="00C108FB">
            <w:pPr>
              <w:pStyle w:val="a6"/>
              <w:numPr>
                <w:ilvl w:val="0"/>
                <w:numId w:val="19"/>
              </w:numPr>
              <w:rPr>
                <w:bCs/>
                <w:lang w:val="ro-MD"/>
              </w:rPr>
            </w:pPr>
            <w:r w:rsidRPr="00DD57E3">
              <w:rPr>
                <w:bCs/>
                <w:lang w:val="ro-MD"/>
              </w:rPr>
              <w:t xml:space="preserve">Vehicule grele </w:t>
            </w:r>
            <w:r w:rsidR="007464A2" w:rsidRPr="00DD57E3">
              <w:rPr>
                <w:bCs/>
                <w:lang w:val="ro-MD"/>
              </w:rPr>
              <w:t xml:space="preserve">(VG) </w:t>
            </w:r>
            <w:r w:rsidRPr="00DD57E3">
              <w:rPr>
                <w:bCs/>
                <w:lang w:val="ro-MD"/>
              </w:rPr>
              <w:t xml:space="preserve">(N2 și N3): </w:t>
            </w:r>
            <w:r w:rsidR="005E03A5" w:rsidRPr="00DD57E3">
              <w:rPr>
                <w:bCs/>
                <w:lang w:val="ro-MD"/>
              </w:rPr>
              <w:t>653</w:t>
            </w:r>
            <w:r w:rsidRPr="00DD57E3">
              <w:rPr>
                <w:bCs/>
                <w:lang w:val="ro-MD"/>
              </w:rPr>
              <w:t xml:space="preserve"> unități, dintre care </w:t>
            </w:r>
            <w:r w:rsidR="005E03A5" w:rsidRPr="00DD57E3">
              <w:rPr>
                <w:bCs/>
                <w:lang w:val="ro-MD"/>
              </w:rPr>
              <w:t>223</w:t>
            </w:r>
            <w:r w:rsidRPr="00DD57E3">
              <w:rPr>
                <w:bCs/>
                <w:lang w:val="ro-MD"/>
              </w:rPr>
              <w:t xml:space="preserve"> sunt mai vechi de 10 ani și pot necesita înnoire.</w:t>
            </w:r>
          </w:p>
          <w:p w14:paraId="72C6D69F" w14:textId="5AE04D00" w:rsidR="00736040" w:rsidRPr="00DD57E3" w:rsidRDefault="00736040">
            <w:pPr>
              <w:pStyle w:val="a6"/>
              <w:numPr>
                <w:ilvl w:val="0"/>
                <w:numId w:val="19"/>
              </w:numPr>
              <w:rPr>
                <w:bCs/>
                <w:lang w:val="ro-MD"/>
              </w:rPr>
            </w:pPr>
            <w:r w:rsidRPr="00DD57E3">
              <w:rPr>
                <w:bCs/>
                <w:lang w:val="ro-MD"/>
              </w:rPr>
              <w:t xml:space="preserve">Autobuze </w:t>
            </w:r>
            <w:r w:rsidR="007464A2" w:rsidRPr="00DD57E3">
              <w:rPr>
                <w:bCs/>
                <w:lang w:val="ro-MD"/>
              </w:rPr>
              <w:t xml:space="preserve">(BUS) </w:t>
            </w:r>
            <w:r w:rsidRPr="00DD57E3">
              <w:rPr>
                <w:bCs/>
                <w:lang w:val="ro-MD"/>
              </w:rPr>
              <w:t>(M3):</w:t>
            </w:r>
            <w:r w:rsidR="005E03A5" w:rsidRPr="00DD57E3">
              <w:rPr>
                <w:bCs/>
                <w:lang w:val="ro-MD"/>
              </w:rPr>
              <w:t xml:space="preserve"> 295</w:t>
            </w:r>
            <w:r w:rsidRPr="00DD57E3">
              <w:rPr>
                <w:bCs/>
                <w:lang w:val="ro-MD"/>
              </w:rPr>
              <w:t xml:space="preserve"> unități, dintre care </w:t>
            </w:r>
            <w:r w:rsidR="005E03A5" w:rsidRPr="00DD57E3">
              <w:rPr>
                <w:bCs/>
                <w:lang w:val="ro-MD"/>
              </w:rPr>
              <w:t>96</w:t>
            </w:r>
            <w:r w:rsidRPr="00DD57E3">
              <w:rPr>
                <w:bCs/>
                <w:lang w:val="ro-MD"/>
              </w:rPr>
              <w:t xml:space="preserve"> sunt mai vechi de 10 ani și pot necesita înnoire.</w:t>
            </w:r>
          </w:p>
          <w:p w14:paraId="3897C0B3" w14:textId="77777777" w:rsidR="007F5345" w:rsidRPr="00DD57E3" w:rsidRDefault="007F5345" w:rsidP="007A14F1">
            <w:pPr>
              <w:pStyle w:val="a6"/>
              <w:ind w:left="720" w:firstLine="0"/>
              <w:rPr>
                <w:bCs/>
                <w:lang w:val="ro-MD"/>
              </w:rPr>
            </w:pPr>
          </w:p>
          <w:p w14:paraId="7BD26680" w14:textId="3FDFE899" w:rsidR="00E36BBB" w:rsidRPr="00DD57E3" w:rsidRDefault="00E36BBB" w:rsidP="00F315E5">
            <w:pPr>
              <w:pStyle w:val="a6"/>
              <w:ind w:left="720" w:firstLine="0"/>
              <w:rPr>
                <w:bCs/>
                <w:lang w:val="ro-MD"/>
              </w:rPr>
            </w:pPr>
          </w:p>
        </w:tc>
      </w:tr>
      <w:tr w:rsidR="00D91B9B" w:rsidRPr="00DD57E3" w14:paraId="64EFC9F5" w14:textId="77777777" w:rsidTr="033CF18F">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F090CC" w14:textId="3E013FF1" w:rsidR="00D91B9B" w:rsidRPr="00DD57E3" w:rsidRDefault="00D91B9B" w:rsidP="00D91B9B">
            <w:pPr>
              <w:pStyle w:val="a4"/>
              <w:numPr>
                <w:ilvl w:val="0"/>
                <w:numId w:val="2"/>
              </w:numPr>
              <w:tabs>
                <w:tab w:val="left" w:pos="884"/>
                <w:tab w:val="left" w:pos="1196"/>
              </w:tabs>
              <w:suppressAutoHyphens/>
              <w:spacing w:after="0" w:line="240" w:lineRule="auto"/>
              <w:jc w:val="both"/>
              <w:rPr>
                <w:rFonts w:eastAsiaTheme="minorEastAsia" w:cs="Times New Roman"/>
                <w:b/>
                <w:szCs w:val="24"/>
                <w:lang w:val="ro-MD" w:eastAsia="ar-SA"/>
              </w:rPr>
            </w:pPr>
            <w:bookmarkStart w:id="5" w:name="_Hlk191386166"/>
            <w:r w:rsidRPr="00DD57E3">
              <w:rPr>
                <w:rFonts w:eastAsiaTheme="minorEastAsia" w:cs="Times New Roman"/>
                <w:b/>
                <w:szCs w:val="24"/>
                <w:lang w:val="ro-MD" w:eastAsia="ar-SA"/>
              </w:rPr>
              <w:lastRenderedPageBreak/>
              <w:t xml:space="preserve">Obiectivele urmărite </w:t>
            </w:r>
            <w:r w:rsidR="00D84F0C" w:rsidRPr="00DD57E3">
              <w:rPr>
                <w:rFonts w:eastAsiaTheme="minorEastAsia" w:cs="Times New Roman"/>
                <w:b/>
                <w:szCs w:val="24"/>
                <w:lang w:val="ro-MD" w:eastAsia="ar-SA"/>
              </w:rPr>
              <w:t>ș</w:t>
            </w:r>
            <w:r w:rsidRPr="00DD57E3">
              <w:rPr>
                <w:rFonts w:eastAsiaTheme="minorEastAsia" w:cs="Times New Roman"/>
                <w:b/>
                <w:szCs w:val="24"/>
                <w:lang w:val="ro-MD" w:eastAsia="ar-SA"/>
              </w:rPr>
              <w:t>i solu</w:t>
            </w:r>
            <w:r w:rsidR="00D84F0C" w:rsidRPr="00DD57E3">
              <w:rPr>
                <w:rFonts w:eastAsiaTheme="minorEastAsia" w:cs="Times New Roman"/>
                <w:b/>
                <w:szCs w:val="24"/>
                <w:lang w:val="ro-MD" w:eastAsia="ar-SA"/>
              </w:rPr>
              <w:t>ț</w:t>
            </w:r>
            <w:r w:rsidRPr="00DD57E3">
              <w:rPr>
                <w:rFonts w:eastAsiaTheme="minorEastAsia" w:cs="Times New Roman"/>
                <w:b/>
                <w:szCs w:val="24"/>
                <w:lang w:val="ro-MD" w:eastAsia="ar-SA"/>
              </w:rPr>
              <w:t>iile propuse</w:t>
            </w:r>
            <w:bookmarkEnd w:id="5"/>
          </w:p>
        </w:tc>
      </w:tr>
      <w:tr w:rsidR="00D91B9B" w:rsidRPr="00DD57E3" w14:paraId="3D5419F4" w14:textId="77777777" w:rsidTr="033CF18F">
        <w:trPr>
          <w:trHeight w:val="841"/>
        </w:trPr>
        <w:tc>
          <w:tcPr>
            <w:tcW w:w="5000" w:type="pct"/>
            <w:tcBorders>
              <w:top w:val="single" w:sz="4" w:space="0" w:color="auto"/>
              <w:left w:val="single" w:sz="4" w:space="0" w:color="auto"/>
              <w:bottom w:val="single" w:sz="4" w:space="0" w:color="auto"/>
              <w:right w:val="single" w:sz="4" w:space="0" w:color="auto"/>
            </w:tcBorders>
          </w:tcPr>
          <w:p w14:paraId="5E23B2C4" w14:textId="5C1E3F39" w:rsidR="00D91B9B" w:rsidRPr="00DD57E3" w:rsidRDefault="00D91B9B">
            <w:pPr>
              <w:pStyle w:val="a4"/>
              <w:spacing w:before="60" w:after="0" w:line="240" w:lineRule="auto"/>
              <w:ind w:left="101"/>
              <w:jc w:val="both"/>
              <w:rPr>
                <w:rFonts w:cs="Times New Roman"/>
                <w:b/>
                <w:i/>
                <w:iCs/>
                <w:szCs w:val="24"/>
                <w:lang w:val="ro-MD"/>
              </w:rPr>
            </w:pPr>
            <w:bookmarkStart w:id="6" w:name="_Hlk191386178"/>
            <w:r w:rsidRPr="00DD57E3">
              <w:rPr>
                <w:rFonts w:cs="Times New Roman"/>
                <w:b/>
                <w:i/>
                <w:iCs/>
                <w:szCs w:val="24"/>
                <w:lang w:val="ro-MD"/>
              </w:rPr>
              <w:t xml:space="preserve">3.1. Principalele prevederi ale proiectului </w:t>
            </w:r>
            <w:r w:rsidR="00D84F0C" w:rsidRPr="00DD57E3">
              <w:rPr>
                <w:rFonts w:cs="Times New Roman"/>
                <w:b/>
                <w:i/>
                <w:iCs/>
                <w:szCs w:val="24"/>
                <w:lang w:val="ro-MD"/>
              </w:rPr>
              <w:t>ș</w:t>
            </w:r>
            <w:r w:rsidRPr="00DD57E3">
              <w:rPr>
                <w:rFonts w:cs="Times New Roman"/>
                <w:b/>
                <w:i/>
                <w:iCs/>
                <w:szCs w:val="24"/>
                <w:lang w:val="ro-MD"/>
              </w:rPr>
              <w:t>i eviden</w:t>
            </w:r>
            <w:r w:rsidR="00D84F0C" w:rsidRPr="00DD57E3">
              <w:rPr>
                <w:rFonts w:cs="Times New Roman"/>
                <w:b/>
                <w:i/>
                <w:iCs/>
                <w:szCs w:val="24"/>
                <w:lang w:val="ro-MD"/>
              </w:rPr>
              <w:t>ț</w:t>
            </w:r>
            <w:r w:rsidRPr="00DD57E3">
              <w:rPr>
                <w:rFonts w:cs="Times New Roman"/>
                <w:b/>
                <w:i/>
                <w:iCs/>
                <w:szCs w:val="24"/>
                <w:lang w:val="ro-MD"/>
              </w:rPr>
              <w:t>ierea elementelor noi</w:t>
            </w:r>
          </w:p>
          <w:bookmarkEnd w:id="6"/>
          <w:p w14:paraId="1408D717" w14:textId="1BDD7431" w:rsidR="00D91B9B" w:rsidRPr="00DD57E3" w:rsidRDefault="00D91B9B">
            <w:pPr>
              <w:spacing w:before="120" w:after="0" w:line="240" w:lineRule="auto"/>
              <w:jc w:val="both"/>
              <w:rPr>
                <w:rFonts w:ascii="Times New Roman" w:hAnsi="Times New Roman" w:cs="Times New Roman"/>
                <w:iCs/>
                <w:sz w:val="24"/>
                <w:szCs w:val="24"/>
                <w:lang w:val="ro-MD"/>
              </w:rPr>
            </w:pPr>
            <w:r w:rsidRPr="00DD57E3">
              <w:rPr>
                <w:rFonts w:ascii="Times New Roman" w:hAnsi="Times New Roman" w:cs="Times New Roman"/>
                <w:iCs/>
                <w:sz w:val="24"/>
                <w:szCs w:val="24"/>
                <w:lang w:val="ro-MD"/>
              </w:rPr>
              <w:t>Prezentul proiect de lege asigură transpunerea în legisla</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ia na</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ională a prevederilor Directivei 2009/33/CE a Parlamentului European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a Consiliului din 23 aprilie 2009 privind promovarea vehiculelor de transport rutier nepoluante</w:t>
            </w:r>
            <w:r w:rsidR="00AE0D97" w:rsidRPr="00DD57E3">
              <w:rPr>
                <w:rFonts w:ascii="Times New Roman" w:hAnsi="Times New Roman" w:cs="Times New Roman"/>
                <w:iCs/>
                <w:sz w:val="24"/>
                <w:szCs w:val="24"/>
                <w:lang w:val="ro-MD"/>
              </w:rPr>
              <w:t>, în sprijinul unei mobilită</w:t>
            </w:r>
            <w:r w:rsidR="00D84F0C" w:rsidRPr="00DD57E3">
              <w:rPr>
                <w:rFonts w:ascii="Times New Roman" w:hAnsi="Times New Roman" w:cs="Times New Roman"/>
                <w:iCs/>
                <w:sz w:val="24"/>
                <w:szCs w:val="24"/>
                <w:lang w:val="ro-MD"/>
              </w:rPr>
              <w:t>ț</w:t>
            </w:r>
            <w:r w:rsidR="00AE0D97" w:rsidRPr="00DD57E3">
              <w:rPr>
                <w:rFonts w:ascii="Times New Roman" w:hAnsi="Times New Roman" w:cs="Times New Roman"/>
                <w:iCs/>
                <w:sz w:val="24"/>
                <w:szCs w:val="24"/>
                <w:lang w:val="ro-MD"/>
              </w:rPr>
              <w:t>i cu emisii scăzute</w:t>
            </w:r>
            <w:r w:rsidRPr="00DD57E3">
              <w:rPr>
                <w:rFonts w:ascii="Times New Roman" w:hAnsi="Times New Roman" w:cs="Times New Roman"/>
                <w:iCs/>
                <w:sz w:val="24"/>
                <w:szCs w:val="24"/>
                <w:lang w:val="ro-MD"/>
              </w:rPr>
              <w:t>, cu modificările operate prin Directiva (UE) 2019/1161</w:t>
            </w:r>
            <w:r w:rsidR="003B32CE" w:rsidRPr="00DD57E3">
              <w:rPr>
                <w:rFonts w:ascii="Times New Roman" w:hAnsi="Times New Roman" w:cs="Times New Roman"/>
                <w:iCs/>
                <w:sz w:val="24"/>
                <w:szCs w:val="24"/>
                <w:lang w:val="ro-MD"/>
              </w:rPr>
              <w:t xml:space="preserve"> </w:t>
            </w:r>
            <w:r w:rsidR="00D84F0C" w:rsidRPr="00DD57E3">
              <w:rPr>
                <w:rFonts w:ascii="Times New Roman" w:hAnsi="Times New Roman" w:cs="Times New Roman"/>
                <w:iCs/>
                <w:sz w:val="24"/>
                <w:szCs w:val="24"/>
                <w:lang w:val="ro-MD"/>
              </w:rPr>
              <w:t>ș</w:t>
            </w:r>
            <w:r w:rsidR="003B32CE" w:rsidRPr="00DD57E3">
              <w:rPr>
                <w:rFonts w:ascii="Times New Roman" w:hAnsi="Times New Roman" w:cs="Times New Roman"/>
                <w:iCs/>
                <w:sz w:val="24"/>
                <w:szCs w:val="24"/>
                <w:lang w:val="ro-MD"/>
              </w:rPr>
              <w:t xml:space="preserve">i </w:t>
            </w:r>
            <w:r w:rsidR="003B32CE" w:rsidRPr="00DD57E3">
              <w:rPr>
                <w:rFonts w:ascii="Times New Roman" w:hAnsi="Times New Roman" w:cs="Times New Roman"/>
                <w:bCs/>
                <w:iCs/>
                <w:sz w:val="24"/>
                <w:szCs w:val="24"/>
                <w:lang w:val="ro-MD"/>
              </w:rPr>
              <w:t>Decizia (UE) 2024/1254</w:t>
            </w:r>
            <w:r w:rsidRPr="00DD57E3">
              <w:rPr>
                <w:rFonts w:ascii="Times New Roman" w:hAnsi="Times New Roman" w:cs="Times New Roman"/>
                <w:iCs/>
                <w:sz w:val="24"/>
                <w:szCs w:val="24"/>
                <w:lang w:val="ro-MD"/>
              </w:rPr>
              <w:t xml:space="preserve">)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are ca scop reglementarea condi</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iilor privind promovarea </w:t>
            </w:r>
            <w:r w:rsidR="00D84F0C" w:rsidRPr="00DD57E3">
              <w:rPr>
                <w:rFonts w:ascii="Times New Roman" w:hAnsi="Times New Roman" w:cs="Times New Roman"/>
                <w:iCs/>
                <w:sz w:val="24"/>
                <w:szCs w:val="24"/>
                <w:lang w:val="ro-MD"/>
              </w:rPr>
              <w:t>ș</w:t>
            </w:r>
            <w:r w:rsidR="000F4A10" w:rsidRPr="00DD57E3">
              <w:rPr>
                <w:rFonts w:ascii="Times New Roman" w:hAnsi="Times New Roman" w:cs="Times New Roman"/>
                <w:iCs/>
                <w:sz w:val="24"/>
                <w:szCs w:val="24"/>
                <w:lang w:val="ro-MD"/>
              </w:rPr>
              <w:t>i stimularea achizi</w:t>
            </w:r>
            <w:r w:rsidR="00D84F0C" w:rsidRPr="00DD57E3">
              <w:rPr>
                <w:rFonts w:ascii="Times New Roman" w:hAnsi="Times New Roman" w:cs="Times New Roman"/>
                <w:iCs/>
                <w:sz w:val="24"/>
                <w:szCs w:val="24"/>
                <w:lang w:val="ro-MD"/>
              </w:rPr>
              <w:t>ț</w:t>
            </w:r>
            <w:r w:rsidR="000F4A10" w:rsidRPr="00DD57E3">
              <w:rPr>
                <w:rFonts w:ascii="Times New Roman" w:hAnsi="Times New Roman" w:cs="Times New Roman"/>
                <w:iCs/>
                <w:sz w:val="24"/>
                <w:szCs w:val="24"/>
                <w:lang w:val="ro-MD"/>
              </w:rPr>
              <w:t xml:space="preserve">iilor publice de </w:t>
            </w:r>
            <w:r w:rsidRPr="00DD57E3">
              <w:rPr>
                <w:rFonts w:ascii="Times New Roman" w:hAnsi="Times New Roman" w:cs="Times New Roman"/>
                <w:iCs/>
                <w:sz w:val="24"/>
                <w:szCs w:val="24"/>
                <w:lang w:val="ro-MD"/>
              </w:rPr>
              <w:t xml:space="preserve">vehicule nepoluante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eficiente din punct de vedere energetic, în sprijinul unei mobilită</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 cu emisii scăzute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îmbunătă</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irea contribu</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iei sectorului de transport rutier la politicile</w:t>
            </w:r>
            <w:r w:rsidR="000F4A10" w:rsidRPr="00DD57E3">
              <w:rPr>
                <w:rFonts w:ascii="Times New Roman" w:hAnsi="Times New Roman" w:cs="Times New Roman"/>
                <w:iCs/>
                <w:sz w:val="24"/>
                <w:szCs w:val="24"/>
                <w:lang w:val="ro-MD"/>
              </w:rPr>
              <w:t xml:space="preserve"> Uniunii Europene</w:t>
            </w:r>
            <w:r w:rsidRPr="00DD57E3">
              <w:rPr>
                <w:rFonts w:ascii="Times New Roman" w:hAnsi="Times New Roman" w:cs="Times New Roman"/>
                <w:iCs/>
                <w:sz w:val="24"/>
                <w:szCs w:val="24"/>
                <w:lang w:val="ro-MD"/>
              </w:rPr>
              <w:t xml:space="preserve"> în domeniul mediului, climei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 xml:space="preserve">i energiei. În scopul realizării obiectivelor respective, proiectul prevede stabilirea </w:t>
            </w:r>
            <w:r w:rsidR="00D84F0C" w:rsidRPr="00DD57E3">
              <w:rPr>
                <w:rFonts w:ascii="Times New Roman" w:hAnsi="Times New Roman" w:cs="Times New Roman"/>
                <w:iCs/>
                <w:sz w:val="24"/>
                <w:szCs w:val="24"/>
                <w:lang w:val="ro-MD"/>
              </w:rPr>
              <w:t>ț</w:t>
            </w:r>
            <w:r w:rsidR="003B32CE" w:rsidRPr="00DD57E3">
              <w:rPr>
                <w:rFonts w:ascii="Times New Roman" w:hAnsi="Times New Roman" w:cs="Times New Roman"/>
                <w:iCs/>
                <w:sz w:val="24"/>
                <w:szCs w:val="24"/>
                <w:lang w:val="ro-MD"/>
              </w:rPr>
              <w:t xml:space="preserve">intelor </w:t>
            </w:r>
            <w:r w:rsidRPr="00DD57E3">
              <w:rPr>
                <w:rFonts w:ascii="Times New Roman" w:hAnsi="Times New Roman" w:cs="Times New Roman"/>
                <w:iCs/>
                <w:sz w:val="24"/>
                <w:szCs w:val="24"/>
                <w:lang w:val="ro-MD"/>
              </w:rPr>
              <w:t>minime de achizi</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ii a vehiculelor</w:t>
            </w:r>
            <w:r w:rsidR="003B32CE" w:rsidRPr="00DD57E3">
              <w:rPr>
                <w:rFonts w:ascii="Times New Roman" w:hAnsi="Times New Roman" w:cs="Times New Roman"/>
                <w:iCs/>
                <w:sz w:val="24"/>
                <w:szCs w:val="24"/>
                <w:lang w:val="ro-MD"/>
              </w:rPr>
              <w:t xml:space="preserve"> nepoluante</w:t>
            </w:r>
            <w:r w:rsidRPr="00DD57E3">
              <w:rPr>
                <w:rFonts w:ascii="Times New Roman" w:hAnsi="Times New Roman" w:cs="Times New Roman"/>
                <w:iCs/>
                <w:sz w:val="24"/>
                <w:szCs w:val="24"/>
                <w:lang w:val="ro-MD"/>
              </w:rPr>
              <w:t>, atât pentru parcurile de automobile ale institu</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iilor publice, cât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pentru entită</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ile private, exprimate ca procente minime de vehicule nepoluante din numărul total al vehiculelor de transport rutier, ce trebuie atinse de către autorită</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ile contractante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entită</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ile contractante.</w:t>
            </w:r>
            <w:r w:rsidRPr="00DD57E3">
              <w:rPr>
                <w:lang w:val="ro-MD"/>
              </w:rPr>
              <w:t xml:space="preserve"> </w:t>
            </w:r>
            <w:r w:rsidRPr="00DD57E3">
              <w:rPr>
                <w:rFonts w:ascii="Times New Roman" w:hAnsi="Times New Roman" w:cs="Times New Roman"/>
                <w:lang w:val="ro-MD"/>
              </w:rPr>
              <w:t>S</w:t>
            </w:r>
            <w:r w:rsidRPr="00DD57E3">
              <w:rPr>
                <w:rFonts w:ascii="Times New Roman" w:hAnsi="Times New Roman" w:cs="Times New Roman"/>
                <w:iCs/>
                <w:sz w:val="24"/>
                <w:szCs w:val="24"/>
                <w:lang w:val="ro-MD"/>
              </w:rPr>
              <w:t xml:space="preserve">tabilirea unor </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inte minime privind achizi</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iile publice poate sprijini realizarea obiectivului de a </w:t>
            </w:r>
            <w:r w:rsidRPr="00DD57E3">
              <w:rPr>
                <w:rFonts w:ascii="Times New Roman" w:hAnsi="Times New Roman" w:cs="Times New Roman"/>
                <w:iCs/>
                <w:sz w:val="24"/>
                <w:szCs w:val="24"/>
                <w:lang w:val="ro-MD"/>
              </w:rPr>
              <w:lastRenderedPageBreak/>
              <w:t xml:space="preserve">promova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de a stimula introducerea pe pia</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ă a vehiculelor nepoluante, fără a omite totodată relevan</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a luării în considerare a aspectelor de mediu în cadrul tuturor deciziilor privind achizi</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iile publice</w:t>
            </w:r>
            <w:r w:rsidR="003B32CE" w:rsidRPr="00DD57E3">
              <w:rPr>
                <w:rFonts w:ascii="Times New Roman" w:hAnsi="Times New Roman" w:cs="Times New Roman"/>
                <w:iCs/>
                <w:sz w:val="24"/>
                <w:szCs w:val="24"/>
                <w:lang w:val="ro-MD"/>
              </w:rPr>
              <w:t xml:space="preserve"> </w:t>
            </w:r>
            <w:r w:rsidR="00D84F0C" w:rsidRPr="00DD57E3">
              <w:rPr>
                <w:rFonts w:ascii="Times New Roman" w:hAnsi="Times New Roman" w:cs="Times New Roman"/>
                <w:iCs/>
                <w:sz w:val="24"/>
                <w:szCs w:val="24"/>
                <w:lang w:val="ro-MD"/>
              </w:rPr>
              <w:t>ș</w:t>
            </w:r>
            <w:r w:rsidR="003B32CE" w:rsidRPr="00DD57E3">
              <w:rPr>
                <w:rFonts w:ascii="Times New Roman" w:hAnsi="Times New Roman" w:cs="Times New Roman"/>
                <w:iCs/>
                <w:sz w:val="24"/>
                <w:szCs w:val="24"/>
                <w:lang w:val="ro-MD"/>
              </w:rPr>
              <w:t>i sectoriale</w:t>
            </w:r>
            <w:r w:rsidRPr="00DD57E3">
              <w:rPr>
                <w:rFonts w:ascii="Times New Roman" w:hAnsi="Times New Roman" w:cs="Times New Roman"/>
                <w:iCs/>
                <w:sz w:val="24"/>
                <w:szCs w:val="24"/>
                <w:lang w:val="ro-MD"/>
              </w:rPr>
              <w:t>.</w:t>
            </w:r>
          </w:p>
          <w:p w14:paraId="3230487A" w14:textId="1DE4182C" w:rsidR="00D91B9B" w:rsidRPr="00DD57E3" w:rsidRDefault="00D91B9B">
            <w:pPr>
              <w:spacing w:before="120" w:after="0" w:line="240" w:lineRule="auto"/>
              <w:jc w:val="both"/>
              <w:rPr>
                <w:rFonts w:ascii="Times New Roman" w:hAnsi="Times New Roman" w:cs="Times New Roman"/>
                <w:iCs/>
                <w:sz w:val="24"/>
                <w:szCs w:val="24"/>
                <w:lang w:val="ro-MD"/>
              </w:rPr>
            </w:pPr>
            <w:r w:rsidRPr="00DD57E3">
              <w:rPr>
                <w:rFonts w:ascii="Times New Roman" w:hAnsi="Times New Roman" w:cs="Times New Roman"/>
                <w:iCs/>
                <w:sz w:val="24"/>
                <w:szCs w:val="24"/>
                <w:lang w:val="ro-MD"/>
              </w:rPr>
              <w:t>Astfel, proiectul con</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ine prevederi referitoare la obiectul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obiectivele stabilite, domeniul de aplicare, excep</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iile, definirea unor termeni, stabilirea </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intelor minime privind achizi</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iile publice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modalitatea de raportare. Având în vedere că proiectul actului normativ are inciden</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ă asupra achizi</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iilor publice</w:t>
            </w:r>
            <w:r w:rsidR="003B32CE" w:rsidRPr="00DD57E3">
              <w:rPr>
                <w:rFonts w:ascii="Times New Roman" w:hAnsi="Times New Roman" w:cs="Times New Roman"/>
                <w:iCs/>
                <w:sz w:val="24"/>
                <w:szCs w:val="24"/>
                <w:lang w:val="ro-MD"/>
              </w:rPr>
              <w:t xml:space="preserve"> </w:t>
            </w:r>
            <w:r w:rsidR="00D84F0C" w:rsidRPr="00DD57E3">
              <w:rPr>
                <w:rFonts w:ascii="Times New Roman" w:hAnsi="Times New Roman" w:cs="Times New Roman"/>
                <w:iCs/>
                <w:sz w:val="24"/>
                <w:szCs w:val="24"/>
                <w:lang w:val="ro-MD"/>
              </w:rPr>
              <w:t>ș</w:t>
            </w:r>
            <w:r w:rsidR="003B32CE" w:rsidRPr="00DD57E3">
              <w:rPr>
                <w:rFonts w:ascii="Times New Roman" w:hAnsi="Times New Roman" w:cs="Times New Roman"/>
                <w:iCs/>
                <w:sz w:val="24"/>
                <w:szCs w:val="24"/>
                <w:lang w:val="ro-MD"/>
              </w:rPr>
              <w:t>i sectoriale</w:t>
            </w:r>
            <w:r w:rsidRPr="00DD57E3">
              <w:rPr>
                <w:rFonts w:ascii="Times New Roman" w:hAnsi="Times New Roman" w:cs="Times New Roman"/>
                <w:iCs/>
                <w:sz w:val="24"/>
                <w:szCs w:val="24"/>
                <w:lang w:val="ro-MD"/>
              </w:rPr>
              <w:t>, acesta prevede care sunt autorită</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ile publice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entită</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 </w:t>
            </w:r>
            <w:r w:rsidR="003B32CE" w:rsidRPr="00DD57E3">
              <w:rPr>
                <w:rFonts w:ascii="Times New Roman" w:hAnsi="Times New Roman" w:cs="Times New Roman"/>
                <w:iCs/>
                <w:sz w:val="24"/>
                <w:szCs w:val="24"/>
                <w:lang w:val="ro-MD"/>
              </w:rPr>
              <w:t xml:space="preserve">contractante </w:t>
            </w:r>
            <w:r w:rsidRPr="00DD57E3">
              <w:rPr>
                <w:rFonts w:ascii="Times New Roman" w:hAnsi="Times New Roman" w:cs="Times New Roman"/>
                <w:iCs/>
                <w:sz w:val="24"/>
                <w:szCs w:val="24"/>
                <w:lang w:val="ro-MD"/>
              </w:rPr>
              <w:t xml:space="preserve">obligate să contribuie la realizarea obiectivelor. </w:t>
            </w:r>
          </w:p>
          <w:p w14:paraId="01592FDD" w14:textId="77777777" w:rsidR="00D91B9B" w:rsidRPr="00DD57E3" w:rsidRDefault="00D91B9B">
            <w:pPr>
              <w:spacing w:before="120" w:after="0" w:line="240" w:lineRule="auto"/>
              <w:jc w:val="both"/>
              <w:rPr>
                <w:rFonts w:ascii="Times New Roman" w:hAnsi="Times New Roman" w:cs="Times New Roman"/>
                <w:iCs/>
                <w:sz w:val="24"/>
                <w:szCs w:val="24"/>
                <w:lang w:val="ro-MD"/>
              </w:rPr>
            </w:pPr>
            <w:r w:rsidRPr="00DD57E3">
              <w:rPr>
                <w:rFonts w:ascii="Times New Roman" w:hAnsi="Times New Roman" w:cs="Times New Roman"/>
                <w:iCs/>
                <w:sz w:val="24"/>
                <w:szCs w:val="24"/>
                <w:lang w:val="ro-MD"/>
              </w:rPr>
              <w:t>În special, proiectul reglementează:</w:t>
            </w:r>
          </w:p>
          <w:p w14:paraId="558DE5F5" w14:textId="463A1A3C" w:rsidR="00D91B9B" w:rsidRPr="00DD57E3" w:rsidRDefault="00D91B9B" w:rsidP="00D91B9B">
            <w:pPr>
              <w:pStyle w:val="a4"/>
              <w:numPr>
                <w:ilvl w:val="0"/>
                <w:numId w:val="4"/>
              </w:numPr>
              <w:spacing w:before="60" w:after="0" w:line="240" w:lineRule="auto"/>
              <w:jc w:val="both"/>
              <w:rPr>
                <w:rFonts w:cs="Times New Roman"/>
                <w:iCs/>
                <w:szCs w:val="24"/>
                <w:lang w:val="ro-MD"/>
              </w:rPr>
            </w:pPr>
            <w:r w:rsidRPr="00DD57E3">
              <w:rPr>
                <w:rFonts w:cs="Times New Roman"/>
                <w:iCs/>
                <w:szCs w:val="24"/>
                <w:lang w:val="ro-MD"/>
              </w:rPr>
              <w:t>Obliga</w:t>
            </w:r>
            <w:r w:rsidR="00D84F0C" w:rsidRPr="00DD57E3">
              <w:rPr>
                <w:rFonts w:cs="Times New Roman"/>
                <w:iCs/>
                <w:szCs w:val="24"/>
                <w:lang w:val="ro-MD"/>
              </w:rPr>
              <w:t>ț</w:t>
            </w:r>
            <w:r w:rsidRPr="00DD57E3">
              <w:rPr>
                <w:rFonts w:cs="Times New Roman"/>
                <w:iCs/>
                <w:szCs w:val="24"/>
                <w:lang w:val="ro-MD"/>
              </w:rPr>
              <w:t>iile în sarcina autorită</w:t>
            </w:r>
            <w:r w:rsidR="00D84F0C" w:rsidRPr="00DD57E3">
              <w:rPr>
                <w:rFonts w:cs="Times New Roman"/>
                <w:iCs/>
                <w:szCs w:val="24"/>
                <w:lang w:val="ro-MD"/>
              </w:rPr>
              <w:t>ț</w:t>
            </w:r>
            <w:r w:rsidRPr="00DD57E3">
              <w:rPr>
                <w:rFonts w:cs="Times New Roman"/>
                <w:iCs/>
                <w:szCs w:val="24"/>
                <w:lang w:val="ro-MD"/>
              </w:rPr>
              <w:t xml:space="preserve">ilor contractante </w:t>
            </w:r>
            <w:r w:rsidR="00D84F0C" w:rsidRPr="00DD57E3">
              <w:rPr>
                <w:rFonts w:cs="Times New Roman"/>
                <w:iCs/>
                <w:szCs w:val="24"/>
                <w:lang w:val="ro-MD"/>
              </w:rPr>
              <w:t>ș</w:t>
            </w:r>
            <w:r w:rsidRPr="00DD57E3">
              <w:rPr>
                <w:rFonts w:cs="Times New Roman"/>
                <w:iCs/>
                <w:szCs w:val="24"/>
                <w:lang w:val="ro-MD"/>
              </w:rPr>
              <w:t>i entită</w:t>
            </w:r>
            <w:r w:rsidR="00D84F0C" w:rsidRPr="00DD57E3">
              <w:rPr>
                <w:rFonts w:cs="Times New Roman"/>
                <w:iCs/>
                <w:szCs w:val="24"/>
                <w:lang w:val="ro-MD"/>
              </w:rPr>
              <w:t>ț</w:t>
            </w:r>
            <w:r w:rsidRPr="00DD57E3">
              <w:rPr>
                <w:rFonts w:cs="Times New Roman"/>
                <w:iCs/>
                <w:szCs w:val="24"/>
                <w:lang w:val="ro-MD"/>
              </w:rPr>
              <w:t>ilor contractante care cad sub inciden</w:t>
            </w:r>
            <w:r w:rsidR="00D84F0C" w:rsidRPr="00DD57E3">
              <w:rPr>
                <w:rFonts w:cs="Times New Roman"/>
                <w:iCs/>
                <w:szCs w:val="24"/>
                <w:lang w:val="ro-MD"/>
              </w:rPr>
              <w:t>ț</w:t>
            </w:r>
            <w:r w:rsidRPr="00DD57E3">
              <w:rPr>
                <w:rFonts w:cs="Times New Roman"/>
                <w:iCs/>
                <w:szCs w:val="24"/>
                <w:lang w:val="ro-MD"/>
              </w:rPr>
              <w:t>a art. 13 din Legea nr. 131/2015 privind achizi</w:t>
            </w:r>
            <w:r w:rsidR="00D84F0C" w:rsidRPr="00DD57E3">
              <w:rPr>
                <w:rFonts w:cs="Times New Roman"/>
                <w:iCs/>
                <w:szCs w:val="24"/>
                <w:lang w:val="ro-MD"/>
              </w:rPr>
              <w:t>ț</w:t>
            </w:r>
            <w:r w:rsidRPr="00DD57E3">
              <w:rPr>
                <w:rFonts w:cs="Times New Roman"/>
                <w:iCs/>
                <w:szCs w:val="24"/>
                <w:lang w:val="ro-MD"/>
              </w:rPr>
              <w:t>iile publice, respectiv art. 4 din Legea nr. 74/2020 privind achizi</w:t>
            </w:r>
            <w:r w:rsidR="00D84F0C" w:rsidRPr="00DD57E3">
              <w:rPr>
                <w:rFonts w:cs="Times New Roman"/>
                <w:iCs/>
                <w:szCs w:val="24"/>
                <w:lang w:val="ro-MD"/>
              </w:rPr>
              <w:t>ț</w:t>
            </w:r>
            <w:r w:rsidRPr="00DD57E3">
              <w:rPr>
                <w:rFonts w:cs="Times New Roman"/>
                <w:iCs/>
                <w:szCs w:val="24"/>
                <w:lang w:val="ro-MD"/>
              </w:rPr>
              <w:t xml:space="preserve">iile în sectoarele energeticii, apei, transporturilor </w:t>
            </w:r>
            <w:r w:rsidR="00D84F0C" w:rsidRPr="00DD57E3">
              <w:rPr>
                <w:rFonts w:cs="Times New Roman"/>
                <w:iCs/>
                <w:szCs w:val="24"/>
                <w:lang w:val="ro-MD"/>
              </w:rPr>
              <w:t>ș</w:t>
            </w:r>
            <w:r w:rsidRPr="00DD57E3">
              <w:rPr>
                <w:rFonts w:cs="Times New Roman"/>
                <w:iCs/>
                <w:szCs w:val="24"/>
                <w:lang w:val="ro-MD"/>
              </w:rPr>
              <w:t>i serviciilor po</w:t>
            </w:r>
            <w:r w:rsidR="00D84F0C" w:rsidRPr="00DD57E3">
              <w:rPr>
                <w:rFonts w:cs="Times New Roman"/>
                <w:iCs/>
                <w:szCs w:val="24"/>
                <w:lang w:val="ro-MD"/>
              </w:rPr>
              <w:t>ș</w:t>
            </w:r>
            <w:r w:rsidRPr="00DD57E3">
              <w:rPr>
                <w:rFonts w:cs="Times New Roman"/>
                <w:iCs/>
                <w:szCs w:val="24"/>
                <w:lang w:val="ro-MD"/>
              </w:rPr>
              <w:t xml:space="preserve">tale, de a </w:t>
            </w:r>
            <w:r w:rsidR="00D84F0C" w:rsidRPr="00DD57E3">
              <w:rPr>
                <w:rFonts w:cs="Times New Roman"/>
                <w:iCs/>
                <w:szCs w:val="24"/>
                <w:lang w:val="ro-MD"/>
              </w:rPr>
              <w:t>ț</w:t>
            </w:r>
            <w:r w:rsidRPr="00DD57E3">
              <w:rPr>
                <w:rFonts w:cs="Times New Roman"/>
                <w:iCs/>
                <w:szCs w:val="24"/>
                <w:lang w:val="ro-MD"/>
              </w:rPr>
              <w:t xml:space="preserve">ine cont de impactul energetic </w:t>
            </w:r>
            <w:r w:rsidR="00D84F0C" w:rsidRPr="00DD57E3">
              <w:rPr>
                <w:rFonts w:cs="Times New Roman"/>
                <w:iCs/>
                <w:szCs w:val="24"/>
                <w:lang w:val="ro-MD"/>
              </w:rPr>
              <w:t>ș</w:t>
            </w:r>
            <w:r w:rsidRPr="00DD57E3">
              <w:rPr>
                <w:rFonts w:cs="Times New Roman"/>
                <w:iCs/>
                <w:szCs w:val="24"/>
                <w:lang w:val="ro-MD"/>
              </w:rPr>
              <w:t>i de mediu, inclusiv de consumul energetic, de emisiile de CO</w:t>
            </w:r>
            <w:r w:rsidRPr="00DD57E3">
              <w:rPr>
                <w:rFonts w:cs="Times New Roman"/>
                <w:iCs/>
                <w:szCs w:val="24"/>
                <w:vertAlign w:val="subscript"/>
                <w:lang w:val="ro-MD"/>
              </w:rPr>
              <w:t>2</w:t>
            </w:r>
            <w:r w:rsidRPr="00DD57E3">
              <w:rPr>
                <w:rFonts w:cs="Times New Roman"/>
                <w:iCs/>
                <w:szCs w:val="24"/>
                <w:lang w:val="ro-MD"/>
              </w:rPr>
              <w:t xml:space="preserve"> </w:t>
            </w:r>
            <w:r w:rsidR="00D84F0C" w:rsidRPr="00DD57E3">
              <w:rPr>
                <w:rFonts w:cs="Times New Roman"/>
                <w:iCs/>
                <w:szCs w:val="24"/>
                <w:lang w:val="ro-MD"/>
              </w:rPr>
              <w:t>ș</w:t>
            </w:r>
            <w:r w:rsidRPr="00DD57E3">
              <w:rPr>
                <w:rFonts w:cs="Times New Roman"/>
                <w:iCs/>
                <w:szCs w:val="24"/>
                <w:lang w:val="ro-MD"/>
              </w:rPr>
              <w:t>i de anumi</w:t>
            </w:r>
            <w:r w:rsidR="00D84F0C" w:rsidRPr="00DD57E3">
              <w:rPr>
                <w:rFonts w:cs="Times New Roman"/>
                <w:iCs/>
                <w:szCs w:val="24"/>
                <w:lang w:val="ro-MD"/>
              </w:rPr>
              <w:t>ț</w:t>
            </w:r>
            <w:r w:rsidRPr="00DD57E3">
              <w:rPr>
                <w:rFonts w:cs="Times New Roman"/>
                <w:iCs/>
                <w:szCs w:val="24"/>
                <w:lang w:val="ro-MD"/>
              </w:rPr>
              <w:t>i poluan</w:t>
            </w:r>
            <w:r w:rsidR="00D84F0C" w:rsidRPr="00DD57E3">
              <w:rPr>
                <w:rFonts w:cs="Times New Roman"/>
                <w:iCs/>
                <w:szCs w:val="24"/>
                <w:lang w:val="ro-MD"/>
              </w:rPr>
              <w:t>ț</w:t>
            </w:r>
            <w:r w:rsidRPr="00DD57E3">
              <w:rPr>
                <w:rFonts w:cs="Times New Roman"/>
                <w:iCs/>
                <w:szCs w:val="24"/>
                <w:lang w:val="ro-MD"/>
              </w:rPr>
              <w:t>i, atunci când achizi</w:t>
            </w:r>
            <w:r w:rsidR="00D84F0C" w:rsidRPr="00DD57E3">
              <w:rPr>
                <w:rFonts w:cs="Times New Roman"/>
                <w:iCs/>
                <w:szCs w:val="24"/>
                <w:lang w:val="ro-MD"/>
              </w:rPr>
              <w:t>ț</w:t>
            </w:r>
            <w:r w:rsidRPr="00DD57E3">
              <w:rPr>
                <w:rFonts w:cs="Times New Roman"/>
                <w:iCs/>
                <w:szCs w:val="24"/>
                <w:lang w:val="ro-MD"/>
              </w:rPr>
              <w:t>ionează anumite vehicule de transport rutier;</w:t>
            </w:r>
          </w:p>
          <w:p w14:paraId="3FBBDC72" w14:textId="77777777" w:rsidR="00D91B9B" w:rsidRPr="00DD57E3" w:rsidRDefault="00D91B9B">
            <w:pPr>
              <w:pStyle w:val="a4"/>
              <w:spacing w:before="60" w:after="0" w:line="240" w:lineRule="auto"/>
              <w:jc w:val="both"/>
              <w:rPr>
                <w:rFonts w:cs="Times New Roman"/>
                <w:iCs/>
                <w:sz w:val="6"/>
                <w:szCs w:val="6"/>
                <w:lang w:val="ro-MD"/>
              </w:rPr>
            </w:pPr>
          </w:p>
          <w:p w14:paraId="2504CAB2" w14:textId="195AC687" w:rsidR="00D91B9B" w:rsidRPr="00DD57E3" w:rsidRDefault="00D91B9B" w:rsidP="00D91B9B">
            <w:pPr>
              <w:pStyle w:val="a4"/>
              <w:numPr>
                <w:ilvl w:val="0"/>
                <w:numId w:val="4"/>
              </w:numPr>
              <w:spacing w:after="0" w:line="240" w:lineRule="auto"/>
              <w:jc w:val="both"/>
              <w:rPr>
                <w:rFonts w:cs="Times New Roman"/>
                <w:iCs/>
                <w:szCs w:val="24"/>
                <w:lang w:val="ro-MD"/>
              </w:rPr>
            </w:pPr>
            <w:r w:rsidRPr="00DD57E3">
              <w:rPr>
                <w:rFonts w:cs="Times New Roman"/>
                <w:iCs/>
                <w:szCs w:val="24"/>
                <w:lang w:val="ro-MD"/>
              </w:rPr>
              <w:t>Tipurile de contracte din domeniul achizi</w:t>
            </w:r>
            <w:r w:rsidR="00D84F0C" w:rsidRPr="00DD57E3">
              <w:rPr>
                <w:rFonts w:cs="Times New Roman"/>
                <w:iCs/>
                <w:szCs w:val="24"/>
                <w:lang w:val="ro-MD"/>
              </w:rPr>
              <w:t>ț</w:t>
            </w:r>
            <w:r w:rsidRPr="00DD57E3">
              <w:rPr>
                <w:rFonts w:cs="Times New Roman"/>
                <w:iCs/>
                <w:szCs w:val="24"/>
                <w:lang w:val="ro-MD"/>
              </w:rPr>
              <w:t xml:space="preserve">iilor publice </w:t>
            </w:r>
            <w:r w:rsidR="00D84F0C" w:rsidRPr="00DD57E3">
              <w:rPr>
                <w:rFonts w:cs="Times New Roman"/>
                <w:iCs/>
                <w:szCs w:val="24"/>
                <w:lang w:val="ro-MD"/>
              </w:rPr>
              <w:t>ș</w:t>
            </w:r>
            <w:r w:rsidRPr="00DD57E3">
              <w:rPr>
                <w:rFonts w:cs="Times New Roman"/>
                <w:iCs/>
                <w:szCs w:val="24"/>
                <w:lang w:val="ro-MD"/>
              </w:rPr>
              <w:t>i din sectoarele reglementate, atribuite de către autorită</w:t>
            </w:r>
            <w:r w:rsidR="00D84F0C" w:rsidRPr="00DD57E3">
              <w:rPr>
                <w:rFonts w:cs="Times New Roman"/>
                <w:iCs/>
                <w:szCs w:val="24"/>
                <w:lang w:val="ro-MD"/>
              </w:rPr>
              <w:t>ț</w:t>
            </w:r>
            <w:r w:rsidRPr="00DD57E3">
              <w:rPr>
                <w:rFonts w:cs="Times New Roman"/>
                <w:iCs/>
                <w:szCs w:val="24"/>
                <w:lang w:val="ro-MD"/>
              </w:rPr>
              <w:t>ile contractante sau entită</w:t>
            </w:r>
            <w:r w:rsidR="00D84F0C" w:rsidRPr="00DD57E3">
              <w:rPr>
                <w:rFonts w:cs="Times New Roman"/>
                <w:iCs/>
                <w:szCs w:val="24"/>
                <w:lang w:val="ro-MD"/>
              </w:rPr>
              <w:t>ț</w:t>
            </w:r>
            <w:r w:rsidRPr="00DD57E3">
              <w:rPr>
                <w:rFonts w:cs="Times New Roman"/>
                <w:iCs/>
                <w:szCs w:val="24"/>
                <w:lang w:val="ro-MD"/>
              </w:rPr>
              <w:t>ile contractante, pentru care se instituie obliga</w:t>
            </w:r>
            <w:r w:rsidR="00D84F0C" w:rsidRPr="00DD57E3">
              <w:rPr>
                <w:rFonts w:cs="Times New Roman"/>
                <w:iCs/>
                <w:szCs w:val="24"/>
                <w:lang w:val="ro-MD"/>
              </w:rPr>
              <w:t>ț</w:t>
            </w:r>
            <w:r w:rsidRPr="00DD57E3">
              <w:rPr>
                <w:rFonts w:cs="Times New Roman"/>
                <w:iCs/>
                <w:szCs w:val="24"/>
                <w:lang w:val="ro-MD"/>
              </w:rPr>
              <w:t>ia respectării prevederilor legii, precum: contractele de vânzare-cumpărare de vehicule (inclusiv cu achitare în rate), leasing, loca</w:t>
            </w:r>
            <w:r w:rsidR="00D84F0C" w:rsidRPr="00DD57E3">
              <w:rPr>
                <w:rFonts w:cs="Times New Roman"/>
                <w:iCs/>
                <w:szCs w:val="24"/>
                <w:lang w:val="ro-MD"/>
              </w:rPr>
              <w:t>ț</w:t>
            </w:r>
            <w:r w:rsidRPr="00DD57E3">
              <w:rPr>
                <w:rFonts w:cs="Times New Roman"/>
                <w:iCs/>
                <w:szCs w:val="24"/>
                <w:lang w:val="ro-MD"/>
              </w:rPr>
              <w:t xml:space="preserve">iune de transport rutier, inclusiv contractele care au ca obiect prestarea serviciilor de transport rutier de persoane, servicii de transport rutier </w:t>
            </w:r>
            <w:r w:rsidR="00427F01" w:rsidRPr="00DD57E3">
              <w:rPr>
                <w:rFonts w:cs="Times New Roman"/>
                <w:iCs/>
                <w:szCs w:val="24"/>
                <w:lang w:val="ro-MD"/>
              </w:rPr>
              <w:t>specializat de pasageri</w:t>
            </w:r>
            <w:r w:rsidRPr="00DD57E3">
              <w:rPr>
                <w:rFonts w:cs="Times New Roman"/>
                <w:iCs/>
                <w:szCs w:val="24"/>
                <w:lang w:val="ro-MD"/>
              </w:rPr>
              <w:t xml:space="preserve">, servicii de transport </w:t>
            </w:r>
            <w:r w:rsidR="00427F01" w:rsidRPr="00DD57E3">
              <w:rPr>
                <w:rFonts w:cs="Times New Roman"/>
                <w:iCs/>
                <w:szCs w:val="24"/>
                <w:lang w:val="ro-MD"/>
              </w:rPr>
              <w:t xml:space="preserve">de pasageri </w:t>
            </w:r>
            <w:r w:rsidRPr="00DD57E3">
              <w:rPr>
                <w:rFonts w:cs="Times New Roman"/>
                <w:iCs/>
                <w:szCs w:val="24"/>
                <w:lang w:val="ro-MD"/>
              </w:rPr>
              <w:t xml:space="preserve">ocazional, servicii de colectare a </w:t>
            </w:r>
            <w:r w:rsidR="00615265" w:rsidRPr="00DD57E3">
              <w:rPr>
                <w:rFonts w:cs="Times New Roman"/>
                <w:iCs/>
                <w:szCs w:val="24"/>
                <w:lang w:val="ro-MD"/>
              </w:rPr>
              <w:t>gunoiului menajer</w:t>
            </w:r>
            <w:r w:rsidR="00B33F07" w:rsidRPr="00DD57E3">
              <w:rPr>
                <w:rFonts w:cs="Times New Roman"/>
                <w:iCs/>
                <w:szCs w:val="24"/>
                <w:lang w:val="ro-MD"/>
              </w:rPr>
              <w:t>, servicii de transport rutier de po</w:t>
            </w:r>
            <w:r w:rsidR="00D84F0C" w:rsidRPr="00DD57E3">
              <w:rPr>
                <w:rFonts w:cs="Times New Roman"/>
                <w:iCs/>
                <w:szCs w:val="24"/>
                <w:lang w:val="ro-MD"/>
              </w:rPr>
              <w:t>ș</w:t>
            </w:r>
            <w:r w:rsidR="00B33F07" w:rsidRPr="00DD57E3">
              <w:rPr>
                <w:rFonts w:cs="Times New Roman"/>
                <w:iCs/>
                <w:szCs w:val="24"/>
                <w:lang w:val="ro-MD"/>
              </w:rPr>
              <w:t>tă, servicii de transport de colete, servicii de livrare a po</w:t>
            </w:r>
            <w:r w:rsidR="00D84F0C" w:rsidRPr="00DD57E3">
              <w:rPr>
                <w:rFonts w:cs="Times New Roman"/>
                <w:iCs/>
                <w:szCs w:val="24"/>
                <w:lang w:val="ro-MD"/>
              </w:rPr>
              <w:t>ș</w:t>
            </w:r>
            <w:r w:rsidR="00B33F07" w:rsidRPr="00DD57E3">
              <w:rPr>
                <w:rFonts w:cs="Times New Roman"/>
                <w:iCs/>
                <w:szCs w:val="24"/>
                <w:lang w:val="ro-MD"/>
              </w:rPr>
              <w:t>tei</w:t>
            </w:r>
            <w:r w:rsidR="00025457" w:rsidRPr="00DD57E3">
              <w:rPr>
                <w:rFonts w:cs="Times New Roman"/>
                <w:iCs/>
                <w:szCs w:val="24"/>
                <w:lang w:val="ro-MD"/>
              </w:rPr>
              <w:t>, servicii de livrare a coletelor</w:t>
            </w:r>
            <w:r w:rsidRPr="00DD57E3">
              <w:rPr>
                <w:rFonts w:cs="Times New Roman"/>
                <w:iCs/>
                <w:szCs w:val="24"/>
                <w:lang w:val="ro-MD"/>
              </w:rPr>
              <w:t>, în măsura în care autorită</w:t>
            </w:r>
            <w:r w:rsidR="00D84F0C" w:rsidRPr="00DD57E3">
              <w:rPr>
                <w:rFonts w:cs="Times New Roman"/>
                <w:iCs/>
                <w:szCs w:val="24"/>
                <w:lang w:val="ro-MD"/>
              </w:rPr>
              <w:t>ț</w:t>
            </w:r>
            <w:r w:rsidRPr="00DD57E3">
              <w:rPr>
                <w:rFonts w:cs="Times New Roman"/>
                <w:iCs/>
                <w:szCs w:val="24"/>
                <w:lang w:val="ro-MD"/>
              </w:rPr>
              <w:t>ile contractante sau entită</w:t>
            </w:r>
            <w:r w:rsidR="00D84F0C" w:rsidRPr="00DD57E3">
              <w:rPr>
                <w:rFonts w:cs="Times New Roman"/>
                <w:iCs/>
                <w:szCs w:val="24"/>
                <w:lang w:val="ro-MD"/>
              </w:rPr>
              <w:t>ț</w:t>
            </w:r>
            <w:r w:rsidRPr="00DD57E3">
              <w:rPr>
                <w:rFonts w:cs="Times New Roman"/>
                <w:iCs/>
                <w:szCs w:val="24"/>
                <w:lang w:val="ro-MD"/>
              </w:rPr>
              <w:t>ile contractante intră sub inciden</w:t>
            </w:r>
            <w:r w:rsidR="00D84F0C" w:rsidRPr="00DD57E3">
              <w:rPr>
                <w:rFonts w:cs="Times New Roman"/>
                <w:iCs/>
                <w:szCs w:val="24"/>
                <w:lang w:val="ro-MD"/>
              </w:rPr>
              <w:t>ț</w:t>
            </w:r>
            <w:r w:rsidRPr="00DD57E3">
              <w:rPr>
                <w:rFonts w:cs="Times New Roman"/>
                <w:iCs/>
                <w:szCs w:val="24"/>
                <w:lang w:val="ro-MD"/>
              </w:rPr>
              <w:t>a obliga</w:t>
            </w:r>
            <w:r w:rsidR="00D84F0C" w:rsidRPr="00DD57E3">
              <w:rPr>
                <w:rFonts w:cs="Times New Roman"/>
                <w:iCs/>
                <w:szCs w:val="24"/>
                <w:lang w:val="ro-MD"/>
              </w:rPr>
              <w:t>ț</w:t>
            </w:r>
            <w:r w:rsidRPr="00DD57E3">
              <w:rPr>
                <w:rFonts w:cs="Times New Roman"/>
                <w:iCs/>
                <w:szCs w:val="24"/>
                <w:lang w:val="ro-MD"/>
              </w:rPr>
              <w:t xml:space="preserve">iei de a aplica procedurile de atribuire prevăzute de Legea nr. 131/2015 </w:t>
            </w:r>
            <w:r w:rsidR="00D84F0C" w:rsidRPr="00DD57E3">
              <w:rPr>
                <w:rFonts w:cs="Times New Roman"/>
                <w:iCs/>
                <w:szCs w:val="24"/>
                <w:lang w:val="ro-MD"/>
              </w:rPr>
              <w:t>ș</w:t>
            </w:r>
            <w:r w:rsidRPr="00DD57E3">
              <w:rPr>
                <w:rFonts w:cs="Times New Roman"/>
                <w:iCs/>
                <w:szCs w:val="24"/>
                <w:lang w:val="ro-MD"/>
              </w:rPr>
              <w:t xml:space="preserve">i, respectiv de Legea nr. 74/2020; </w:t>
            </w:r>
          </w:p>
          <w:p w14:paraId="43E0DADE" w14:textId="77777777" w:rsidR="00D91B9B" w:rsidRPr="00DD57E3" w:rsidRDefault="00D91B9B">
            <w:pPr>
              <w:pStyle w:val="a4"/>
              <w:spacing w:before="60" w:after="60" w:line="240" w:lineRule="auto"/>
              <w:jc w:val="both"/>
              <w:rPr>
                <w:rFonts w:cs="Times New Roman"/>
                <w:iCs/>
                <w:sz w:val="6"/>
                <w:szCs w:val="6"/>
                <w:lang w:val="ro-MD"/>
              </w:rPr>
            </w:pPr>
          </w:p>
          <w:p w14:paraId="24394613" w14:textId="01B17D07" w:rsidR="00D91B9B" w:rsidRPr="00DD57E3" w:rsidRDefault="033CF18F" w:rsidP="033CF18F">
            <w:pPr>
              <w:pStyle w:val="a4"/>
              <w:numPr>
                <w:ilvl w:val="0"/>
                <w:numId w:val="4"/>
              </w:numPr>
              <w:spacing w:line="240" w:lineRule="auto"/>
              <w:jc w:val="both"/>
              <w:rPr>
                <w:rFonts w:cs="Times New Roman"/>
                <w:lang w:val="ro-MD"/>
              </w:rPr>
            </w:pPr>
            <w:r w:rsidRPr="00DD57E3">
              <w:rPr>
                <w:rFonts w:cs="Times New Roman"/>
                <w:lang w:val="ro-MD"/>
              </w:rPr>
              <w:t>Categoriile de vehicule ce cad sub incidența legii, în conformitate cu prevederile Directivei 2009/33/CE (actualizată prin Directiva (UE) 2019/1161), precum autovehiculele ușoare (categoriile M</w:t>
            </w:r>
            <w:r w:rsidRPr="00DD57E3">
              <w:rPr>
                <w:rFonts w:cs="Times New Roman"/>
                <w:vertAlign w:val="subscript"/>
                <w:lang w:val="ro-MD"/>
              </w:rPr>
              <w:t>1</w:t>
            </w:r>
            <w:r w:rsidRPr="00DD57E3">
              <w:rPr>
                <w:rFonts w:cs="Times New Roman"/>
                <w:lang w:val="ro-MD"/>
              </w:rPr>
              <w:t>, M</w:t>
            </w:r>
            <w:r w:rsidRPr="00DD57E3">
              <w:rPr>
                <w:rFonts w:cs="Times New Roman"/>
                <w:vertAlign w:val="subscript"/>
                <w:lang w:val="ro-MD"/>
              </w:rPr>
              <w:t>2</w:t>
            </w:r>
            <w:r w:rsidRPr="00DD57E3">
              <w:rPr>
                <w:rFonts w:cs="Times New Roman"/>
                <w:lang w:val="ro-MD"/>
              </w:rPr>
              <w:t xml:space="preserve"> și N1) și autovehicule grele (categoriile M</w:t>
            </w:r>
            <w:r w:rsidRPr="00DD57E3">
              <w:rPr>
                <w:rFonts w:cs="Times New Roman"/>
                <w:vertAlign w:val="subscript"/>
                <w:lang w:val="ro-MD"/>
              </w:rPr>
              <w:t xml:space="preserve">3, </w:t>
            </w:r>
            <w:r w:rsidRPr="00DD57E3">
              <w:rPr>
                <w:rFonts w:cs="Times New Roman"/>
                <w:lang w:val="ro-MD"/>
              </w:rPr>
              <w:t>N</w:t>
            </w:r>
            <w:r w:rsidRPr="00DD57E3">
              <w:rPr>
                <w:rFonts w:cs="Times New Roman"/>
                <w:vertAlign w:val="subscript"/>
                <w:lang w:val="ro-MD"/>
              </w:rPr>
              <w:t>2</w:t>
            </w:r>
            <w:r w:rsidRPr="00DD57E3">
              <w:rPr>
                <w:rFonts w:cs="Times New Roman"/>
                <w:lang w:val="ro-MD"/>
              </w:rPr>
              <w:t>, și N</w:t>
            </w:r>
            <w:r w:rsidRPr="00DD57E3">
              <w:rPr>
                <w:rFonts w:cs="Times New Roman"/>
                <w:vertAlign w:val="subscript"/>
                <w:lang w:val="ro-MD"/>
              </w:rPr>
              <w:t>3</w:t>
            </w:r>
            <w:r w:rsidRPr="00DD57E3">
              <w:rPr>
                <w:rFonts w:cs="Times New Roman"/>
                <w:lang w:val="ro-MD"/>
              </w:rPr>
              <w:t xml:space="preserve">); </w:t>
            </w:r>
          </w:p>
          <w:p w14:paraId="44420F0F" w14:textId="77777777" w:rsidR="00D91B9B" w:rsidRPr="00DD57E3" w:rsidRDefault="00D91B9B">
            <w:pPr>
              <w:pStyle w:val="a4"/>
              <w:rPr>
                <w:rFonts w:cs="Times New Roman"/>
                <w:iCs/>
                <w:sz w:val="6"/>
                <w:szCs w:val="6"/>
                <w:lang w:val="ro-MD"/>
              </w:rPr>
            </w:pPr>
          </w:p>
          <w:p w14:paraId="35488938" w14:textId="041CBED9" w:rsidR="00D91B9B" w:rsidRPr="00DD57E3" w:rsidRDefault="00D91B9B" w:rsidP="00D91B9B">
            <w:pPr>
              <w:pStyle w:val="a4"/>
              <w:numPr>
                <w:ilvl w:val="0"/>
                <w:numId w:val="4"/>
              </w:numPr>
              <w:spacing w:line="240" w:lineRule="auto"/>
              <w:jc w:val="both"/>
              <w:rPr>
                <w:rFonts w:cs="Times New Roman"/>
                <w:iCs/>
                <w:szCs w:val="24"/>
                <w:lang w:val="ro-MD"/>
              </w:rPr>
            </w:pPr>
            <w:r w:rsidRPr="00DD57E3">
              <w:rPr>
                <w:rFonts w:cs="Times New Roman"/>
                <w:iCs/>
                <w:szCs w:val="24"/>
                <w:lang w:val="ro-MD"/>
              </w:rPr>
              <w:t>Excep</w:t>
            </w:r>
            <w:r w:rsidR="00D84F0C" w:rsidRPr="00DD57E3">
              <w:rPr>
                <w:rFonts w:cs="Times New Roman"/>
                <w:iCs/>
                <w:szCs w:val="24"/>
                <w:lang w:val="ro-MD"/>
              </w:rPr>
              <w:t>ț</w:t>
            </w:r>
            <w:r w:rsidRPr="00DD57E3">
              <w:rPr>
                <w:rFonts w:cs="Times New Roman"/>
                <w:iCs/>
                <w:szCs w:val="24"/>
                <w:lang w:val="ro-MD"/>
              </w:rPr>
              <w:t>iile de la inciden</w:t>
            </w:r>
            <w:r w:rsidR="00D84F0C" w:rsidRPr="00DD57E3">
              <w:rPr>
                <w:rFonts w:cs="Times New Roman"/>
                <w:iCs/>
                <w:szCs w:val="24"/>
                <w:lang w:val="ro-MD"/>
              </w:rPr>
              <w:t>ț</w:t>
            </w:r>
            <w:r w:rsidRPr="00DD57E3">
              <w:rPr>
                <w:rFonts w:cs="Times New Roman"/>
                <w:iCs/>
                <w:szCs w:val="24"/>
                <w:lang w:val="ro-MD"/>
              </w:rPr>
              <w:t>a legii pentru anumite tipuri de vehicule agricole sau forestiere, vehicule cu două sau trei ro</w:t>
            </w:r>
            <w:r w:rsidR="00D84F0C" w:rsidRPr="00DD57E3">
              <w:rPr>
                <w:rFonts w:cs="Times New Roman"/>
                <w:iCs/>
                <w:szCs w:val="24"/>
                <w:lang w:val="ro-MD"/>
              </w:rPr>
              <w:t>ț</w:t>
            </w:r>
            <w:r w:rsidRPr="00DD57E3">
              <w:rPr>
                <w:rFonts w:cs="Times New Roman"/>
                <w:iCs/>
                <w:szCs w:val="24"/>
                <w:lang w:val="ro-MD"/>
              </w:rPr>
              <w:t xml:space="preserve">i, cvadriciclurilor, vehiculelor cu </w:t>
            </w:r>
            <w:r w:rsidR="00D84F0C" w:rsidRPr="00DD57E3">
              <w:rPr>
                <w:rFonts w:cs="Times New Roman"/>
                <w:iCs/>
                <w:szCs w:val="24"/>
                <w:lang w:val="ro-MD"/>
              </w:rPr>
              <w:t>ș</w:t>
            </w:r>
            <w:r w:rsidRPr="00DD57E3">
              <w:rPr>
                <w:rFonts w:cs="Times New Roman"/>
                <w:iCs/>
                <w:szCs w:val="24"/>
                <w:lang w:val="ro-MD"/>
              </w:rPr>
              <w:t xml:space="preserve">enile, </w:t>
            </w:r>
            <w:r w:rsidR="002528F7" w:rsidRPr="00DD57E3">
              <w:rPr>
                <w:rFonts w:cs="Times New Roman"/>
                <w:iCs/>
                <w:szCs w:val="24"/>
                <w:lang w:val="ro-MD"/>
              </w:rPr>
              <w:t xml:space="preserve">orice vehicul autopropulsat conceput </w:t>
            </w:r>
            <w:r w:rsidR="00D84F0C" w:rsidRPr="00DD57E3">
              <w:rPr>
                <w:rFonts w:cs="Times New Roman"/>
                <w:iCs/>
                <w:szCs w:val="24"/>
                <w:lang w:val="ro-MD"/>
              </w:rPr>
              <w:t>ș</w:t>
            </w:r>
            <w:r w:rsidR="002528F7" w:rsidRPr="00DD57E3">
              <w:rPr>
                <w:rFonts w:cs="Times New Roman"/>
                <w:iCs/>
                <w:szCs w:val="24"/>
                <w:lang w:val="ro-MD"/>
              </w:rPr>
              <w:t xml:space="preserve">i fabricat în mod specific pentru efectuarea de lucrări care, datorită caracteristicilor sale constructive, nu este adecvat pentru transportul de persoane sau pentru transportul de marfă </w:t>
            </w:r>
            <w:r w:rsidR="00D84F0C" w:rsidRPr="00DD57E3">
              <w:rPr>
                <w:rFonts w:cs="Times New Roman"/>
                <w:iCs/>
                <w:szCs w:val="24"/>
                <w:lang w:val="ro-MD"/>
              </w:rPr>
              <w:t>ș</w:t>
            </w:r>
            <w:r w:rsidR="002528F7" w:rsidRPr="00DD57E3">
              <w:rPr>
                <w:rFonts w:cs="Times New Roman"/>
                <w:iCs/>
                <w:szCs w:val="24"/>
                <w:lang w:val="ro-MD"/>
              </w:rPr>
              <w:t xml:space="preserve">i care nu este un utilaj montat pe </w:t>
            </w:r>
            <w:r w:rsidR="00D84F0C" w:rsidRPr="00DD57E3">
              <w:rPr>
                <w:rFonts w:cs="Times New Roman"/>
                <w:iCs/>
                <w:szCs w:val="24"/>
                <w:lang w:val="ro-MD"/>
              </w:rPr>
              <w:t>ș</w:t>
            </w:r>
            <w:r w:rsidR="002528F7" w:rsidRPr="00DD57E3">
              <w:rPr>
                <w:rFonts w:cs="Times New Roman"/>
                <w:iCs/>
                <w:szCs w:val="24"/>
                <w:lang w:val="ro-MD"/>
              </w:rPr>
              <w:t xml:space="preserve">asiul unui autovehicul, </w:t>
            </w:r>
            <w:r w:rsidRPr="00DD57E3">
              <w:rPr>
                <w:rFonts w:cs="Times New Roman"/>
                <w:iCs/>
                <w:szCs w:val="24"/>
                <w:lang w:val="ro-MD"/>
              </w:rPr>
              <w:t xml:space="preserve">vehiculelor autopropulsate pentru lucrări </w:t>
            </w:r>
            <w:r w:rsidR="00D84F0C" w:rsidRPr="00DD57E3">
              <w:rPr>
                <w:rFonts w:cs="Times New Roman"/>
                <w:iCs/>
                <w:szCs w:val="24"/>
                <w:lang w:val="ro-MD"/>
              </w:rPr>
              <w:t>ș</w:t>
            </w:r>
            <w:r w:rsidRPr="00DD57E3">
              <w:rPr>
                <w:rFonts w:cs="Times New Roman"/>
                <w:iCs/>
                <w:szCs w:val="24"/>
                <w:lang w:val="ro-MD"/>
              </w:rPr>
              <w:t xml:space="preserve">i autobuzelor (altele decât cele din clasa I </w:t>
            </w:r>
            <w:r w:rsidR="00D84F0C" w:rsidRPr="00DD57E3">
              <w:rPr>
                <w:rFonts w:cs="Times New Roman"/>
                <w:iCs/>
                <w:szCs w:val="24"/>
                <w:lang w:val="ro-MD"/>
              </w:rPr>
              <w:t>ș</w:t>
            </w:r>
            <w:r w:rsidRPr="00DD57E3">
              <w:rPr>
                <w:rFonts w:cs="Times New Roman"/>
                <w:iCs/>
                <w:szCs w:val="24"/>
                <w:lang w:val="ro-MD"/>
              </w:rPr>
              <w:t xml:space="preserve">i A). Modificările operate prin Directiva (UE) 2019/1161 permit statelor să acorde derogări </w:t>
            </w:r>
            <w:r w:rsidR="00D84F0C" w:rsidRPr="00DD57E3">
              <w:rPr>
                <w:rFonts w:cs="Times New Roman"/>
                <w:iCs/>
                <w:szCs w:val="24"/>
                <w:lang w:val="ro-MD"/>
              </w:rPr>
              <w:t>ș</w:t>
            </w:r>
            <w:r w:rsidRPr="00DD57E3">
              <w:rPr>
                <w:rFonts w:cs="Times New Roman"/>
                <w:iCs/>
                <w:szCs w:val="24"/>
                <w:lang w:val="ro-MD"/>
              </w:rPr>
              <w:t>i pentru alte categorii de vehicule, care au o utilizare specifică (de către for</w:t>
            </w:r>
            <w:r w:rsidR="00D84F0C" w:rsidRPr="00DD57E3">
              <w:rPr>
                <w:rFonts w:cs="Times New Roman"/>
                <w:iCs/>
                <w:szCs w:val="24"/>
                <w:lang w:val="ro-MD"/>
              </w:rPr>
              <w:t>ț</w:t>
            </w:r>
            <w:r w:rsidRPr="00DD57E3">
              <w:rPr>
                <w:rFonts w:cs="Times New Roman"/>
                <w:iCs/>
                <w:szCs w:val="24"/>
                <w:lang w:val="ro-MD"/>
              </w:rPr>
              <w:t>ele armate, de către serviciile de protec</w:t>
            </w:r>
            <w:r w:rsidR="00D84F0C" w:rsidRPr="00DD57E3">
              <w:rPr>
                <w:rFonts w:cs="Times New Roman"/>
                <w:iCs/>
                <w:szCs w:val="24"/>
                <w:lang w:val="ro-MD"/>
              </w:rPr>
              <w:t>ț</w:t>
            </w:r>
            <w:r w:rsidRPr="00DD57E3">
              <w:rPr>
                <w:rFonts w:cs="Times New Roman"/>
                <w:iCs/>
                <w:szCs w:val="24"/>
                <w:lang w:val="ro-MD"/>
              </w:rPr>
              <w:t xml:space="preserve">ie civilă, de către serviciile de pompieri </w:t>
            </w:r>
            <w:r w:rsidR="00D84F0C" w:rsidRPr="00DD57E3">
              <w:rPr>
                <w:rFonts w:cs="Times New Roman"/>
                <w:iCs/>
                <w:szCs w:val="24"/>
                <w:lang w:val="ro-MD"/>
              </w:rPr>
              <w:t>ș</w:t>
            </w:r>
            <w:r w:rsidRPr="00DD57E3">
              <w:rPr>
                <w:rFonts w:cs="Times New Roman"/>
                <w:iCs/>
                <w:szCs w:val="24"/>
                <w:lang w:val="ro-MD"/>
              </w:rPr>
              <w:t>i de către for</w:t>
            </w:r>
            <w:r w:rsidR="00D84F0C" w:rsidRPr="00DD57E3">
              <w:rPr>
                <w:rFonts w:cs="Times New Roman"/>
                <w:iCs/>
                <w:szCs w:val="24"/>
                <w:lang w:val="ro-MD"/>
              </w:rPr>
              <w:t>ț</w:t>
            </w:r>
            <w:r w:rsidRPr="00DD57E3">
              <w:rPr>
                <w:rFonts w:cs="Times New Roman"/>
                <w:iCs/>
                <w:szCs w:val="24"/>
                <w:lang w:val="ro-MD"/>
              </w:rPr>
              <w:t>ele de men</w:t>
            </w:r>
            <w:r w:rsidR="00D84F0C" w:rsidRPr="00DD57E3">
              <w:rPr>
                <w:rFonts w:cs="Times New Roman"/>
                <w:iCs/>
                <w:szCs w:val="24"/>
                <w:lang w:val="ro-MD"/>
              </w:rPr>
              <w:t>ț</w:t>
            </w:r>
            <w:r w:rsidRPr="00DD57E3">
              <w:rPr>
                <w:rFonts w:cs="Times New Roman"/>
                <w:iCs/>
                <w:szCs w:val="24"/>
                <w:lang w:val="ro-MD"/>
              </w:rPr>
              <w:t xml:space="preserve">inere a ordinii publice, în </w:t>
            </w:r>
            <w:r w:rsidR="00D84F0C" w:rsidRPr="00DD57E3">
              <w:rPr>
                <w:rFonts w:cs="Times New Roman"/>
                <w:iCs/>
                <w:szCs w:val="24"/>
                <w:lang w:val="ro-MD"/>
              </w:rPr>
              <w:t>ș</w:t>
            </w:r>
            <w:r w:rsidRPr="00DD57E3">
              <w:rPr>
                <w:rFonts w:cs="Times New Roman"/>
                <w:iCs/>
                <w:szCs w:val="24"/>
                <w:lang w:val="ro-MD"/>
              </w:rPr>
              <w:t>antiere, în cariere, în porturi sau în aeroporturi) sau au o construc</w:t>
            </w:r>
            <w:r w:rsidR="00D84F0C" w:rsidRPr="00DD57E3">
              <w:rPr>
                <w:rFonts w:cs="Times New Roman"/>
                <w:iCs/>
                <w:szCs w:val="24"/>
                <w:lang w:val="ro-MD"/>
              </w:rPr>
              <w:t>ț</w:t>
            </w:r>
            <w:r w:rsidRPr="00DD57E3">
              <w:rPr>
                <w:rFonts w:cs="Times New Roman"/>
                <w:iCs/>
                <w:szCs w:val="24"/>
                <w:lang w:val="ro-MD"/>
              </w:rPr>
              <w:t>ie specială, specifică unor utilizări restrânse (vehicule blindate, ambulan</w:t>
            </w:r>
            <w:r w:rsidR="00D84F0C" w:rsidRPr="00DD57E3">
              <w:rPr>
                <w:rFonts w:cs="Times New Roman"/>
                <w:iCs/>
                <w:szCs w:val="24"/>
                <w:lang w:val="ro-MD"/>
              </w:rPr>
              <w:t>ț</w:t>
            </w:r>
            <w:r w:rsidRPr="00DD57E3">
              <w:rPr>
                <w:rFonts w:cs="Times New Roman"/>
                <w:iCs/>
                <w:szCs w:val="24"/>
                <w:lang w:val="ro-MD"/>
              </w:rPr>
              <w:t>e, autovehicule funerare, vehicule accesibile scaunelor rulante, macarale mobile). Este de precizat faptul că vehiculele utilizate de către for</w:t>
            </w:r>
            <w:r w:rsidR="00D84F0C" w:rsidRPr="00DD57E3">
              <w:rPr>
                <w:rFonts w:cs="Times New Roman"/>
                <w:iCs/>
                <w:szCs w:val="24"/>
                <w:lang w:val="ro-MD"/>
              </w:rPr>
              <w:t>ț</w:t>
            </w:r>
            <w:r w:rsidRPr="00DD57E3">
              <w:rPr>
                <w:rFonts w:cs="Times New Roman"/>
                <w:iCs/>
                <w:szCs w:val="24"/>
                <w:lang w:val="ro-MD"/>
              </w:rPr>
              <w:t>ele armate, de către serviciile de protec</w:t>
            </w:r>
            <w:r w:rsidR="00D84F0C" w:rsidRPr="00DD57E3">
              <w:rPr>
                <w:rFonts w:cs="Times New Roman"/>
                <w:iCs/>
                <w:szCs w:val="24"/>
                <w:lang w:val="ro-MD"/>
              </w:rPr>
              <w:t>ț</w:t>
            </w:r>
            <w:r w:rsidRPr="00DD57E3">
              <w:rPr>
                <w:rFonts w:cs="Times New Roman"/>
                <w:iCs/>
                <w:szCs w:val="24"/>
                <w:lang w:val="ro-MD"/>
              </w:rPr>
              <w:t xml:space="preserve">ie civilă, de către serviciile de pompieri </w:t>
            </w:r>
            <w:r w:rsidR="00D84F0C" w:rsidRPr="00DD57E3">
              <w:rPr>
                <w:rFonts w:cs="Times New Roman"/>
                <w:iCs/>
                <w:szCs w:val="24"/>
                <w:lang w:val="ro-MD"/>
              </w:rPr>
              <w:t>ș</w:t>
            </w:r>
            <w:r w:rsidRPr="00DD57E3">
              <w:rPr>
                <w:rFonts w:cs="Times New Roman"/>
                <w:iCs/>
                <w:szCs w:val="24"/>
                <w:lang w:val="ro-MD"/>
              </w:rPr>
              <w:t>i de către for</w:t>
            </w:r>
            <w:r w:rsidR="00D84F0C" w:rsidRPr="00DD57E3">
              <w:rPr>
                <w:rFonts w:cs="Times New Roman"/>
                <w:iCs/>
                <w:szCs w:val="24"/>
                <w:lang w:val="ro-MD"/>
              </w:rPr>
              <w:t>ț</w:t>
            </w:r>
            <w:r w:rsidRPr="00DD57E3">
              <w:rPr>
                <w:rFonts w:cs="Times New Roman"/>
                <w:iCs/>
                <w:szCs w:val="24"/>
                <w:lang w:val="ro-MD"/>
              </w:rPr>
              <w:t>ele de men</w:t>
            </w:r>
            <w:r w:rsidR="00D84F0C" w:rsidRPr="00DD57E3">
              <w:rPr>
                <w:rFonts w:cs="Times New Roman"/>
                <w:iCs/>
                <w:szCs w:val="24"/>
                <w:lang w:val="ro-MD"/>
              </w:rPr>
              <w:t>ț</w:t>
            </w:r>
            <w:r w:rsidRPr="00DD57E3">
              <w:rPr>
                <w:rFonts w:cs="Times New Roman"/>
                <w:iCs/>
                <w:szCs w:val="24"/>
                <w:lang w:val="ro-MD"/>
              </w:rPr>
              <w:t xml:space="preserve">inere a ordinii publice, în porturi sau în aeroporturi erau exceptate de la aplicare </w:t>
            </w:r>
            <w:r w:rsidR="00D84F0C" w:rsidRPr="00DD57E3">
              <w:rPr>
                <w:rFonts w:cs="Times New Roman"/>
                <w:iCs/>
                <w:szCs w:val="24"/>
                <w:lang w:val="ro-MD"/>
              </w:rPr>
              <w:t>ș</w:t>
            </w:r>
            <w:r w:rsidRPr="00DD57E3">
              <w:rPr>
                <w:rFonts w:cs="Times New Roman"/>
                <w:iCs/>
                <w:szCs w:val="24"/>
                <w:lang w:val="ro-MD"/>
              </w:rPr>
              <w:t>i în conformitate cu prevederile ini</w:t>
            </w:r>
            <w:r w:rsidR="00D84F0C" w:rsidRPr="00DD57E3">
              <w:rPr>
                <w:rFonts w:cs="Times New Roman"/>
                <w:iCs/>
                <w:szCs w:val="24"/>
                <w:lang w:val="ro-MD"/>
              </w:rPr>
              <w:t>ț</w:t>
            </w:r>
            <w:r w:rsidRPr="00DD57E3">
              <w:rPr>
                <w:rFonts w:cs="Times New Roman"/>
                <w:iCs/>
                <w:szCs w:val="24"/>
                <w:lang w:val="ro-MD"/>
              </w:rPr>
              <w:t>iale ale Directivei 2009/33/CE</w:t>
            </w:r>
            <w:r w:rsidR="00653DEE" w:rsidRPr="00DD57E3">
              <w:rPr>
                <w:rFonts w:cs="Times New Roman"/>
                <w:iCs/>
                <w:szCs w:val="24"/>
                <w:lang w:val="ro-MD"/>
              </w:rPr>
              <w:t xml:space="preserve">. Cu titlu de precizare, prin Comunicarea Comisiei privind aplicarea articolelor 2,3,4 </w:t>
            </w:r>
            <w:r w:rsidR="00D84F0C" w:rsidRPr="00DD57E3">
              <w:rPr>
                <w:rFonts w:cs="Times New Roman"/>
                <w:iCs/>
                <w:szCs w:val="24"/>
                <w:lang w:val="ro-MD"/>
              </w:rPr>
              <w:t>ș</w:t>
            </w:r>
            <w:r w:rsidR="00653DEE" w:rsidRPr="00DD57E3">
              <w:rPr>
                <w:rFonts w:cs="Times New Roman"/>
                <w:iCs/>
                <w:szCs w:val="24"/>
                <w:lang w:val="ro-MD"/>
              </w:rPr>
              <w:t>i 5 din Directiva 2009/33/CE este oferită interpretarea oficială a art. 2 al Directivei, potrivit căreia nu pot fi exceptate toate vehiculele care au o utilizare specifică (precum de exemplu de către for</w:t>
            </w:r>
            <w:r w:rsidR="00D84F0C" w:rsidRPr="00DD57E3">
              <w:rPr>
                <w:rFonts w:cs="Times New Roman"/>
                <w:iCs/>
                <w:szCs w:val="24"/>
                <w:lang w:val="ro-MD"/>
              </w:rPr>
              <w:t>ț</w:t>
            </w:r>
            <w:r w:rsidR="00653DEE" w:rsidRPr="00DD57E3">
              <w:rPr>
                <w:rFonts w:cs="Times New Roman"/>
                <w:iCs/>
                <w:szCs w:val="24"/>
                <w:lang w:val="ro-MD"/>
              </w:rPr>
              <w:t>ele armate sau poli</w:t>
            </w:r>
            <w:r w:rsidR="00D84F0C" w:rsidRPr="00DD57E3">
              <w:rPr>
                <w:rFonts w:cs="Times New Roman"/>
                <w:iCs/>
                <w:szCs w:val="24"/>
                <w:lang w:val="ro-MD"/>
              </w:rPr>
              <w:t>ț</w:t>
            </w:r>
            <w:r w:rsidR="00653DEE" w:rsidRPr="00DD57E3">
              <w:rPr>
                <w:rFonts w:cs="Times New Roman"/>
                <w:iCs/>
                <w:szCs w:val="24"/>
                <w:lang w:val="ro-MD"/>
              </w:rPr>
              <w:t xml:space="preserve">ie), ci „numai vehiculele care au fost special proiectate </w:t>
            </w:r>
            <w:r w:rsidR="00D84F0C" w:rsidRPr="00DD57E3">
              <w:rPr>
                <w:rFonts w:cs="Times New Roman"/>
                <w:iCs/>
                <w:szCs w:val="24"/>
                <w:lang w:val="ro-MD"/>
              </w:rPr>
              <w:t>ș</w:t>
            </w:r>
            <w:r w:rsidR="00653DEE" w:rsidRPr="00DD57E3">
              <w:rPr>
                <w:rFonts w:cs="Times New Roman"/>
                <w:iCs/>
                <w:szCs w:val="24"/>
                <w:lang w:val="ro-MD"/>
              </w:rPr>
              <w:t>i construite sau adaptate pentru a fi utilizate de către aceste servicii”</w:t>
            </w:r>
            <w:r w:rsidR="00653DEE" w:rsidRPr="00DD57E3">
              <w:rPr>
                <w:rStyle w:val="ac"/>
                <w:rFonts w:cs="Times New Roman"/>
                <w:iCs/>
                <w:szCs w:val="24"/>
                <w:lang w:val="ro-MD"/>
              </w:rPr>
              <w:footnoteReference w:id="13"/>
            </w:r>
          </w:p>
          <w:p w14:paraId="3AC4E9DC" w14:textId="77777777" w:rsidR="00D91B9B" w:rsidRPr="00DD57E3" w:rsidRDefault="00D91B9B">
            <w:pPr>
              <w:pStyle w:val="a4"/>
              <w:spacing w:line="240" w:lineRule="auto"/>
              <w:jc w:val="both"/>
              <w:rPr>
                <w:rFonts w:cs="Times New Roman"/>
                <w:iCs/>
                <w:sz w:val="6"/>
                <w:szCs w:val="6"/>
                <w:lang w:val="ro-MD"/>
              </w:rPr>
            </w:pPr>
          </w:p>
          <w:p w14:paraId="2F4C5F76" w14:textId="64D500F0" w:rsidR="00D91B9B" w:rsidRPr="00DD57E3" w:rsidRDefault="00D91B9B" w:rsidP="00D91B9B">
            <w:pPr>
              <w:pStyle w:val="a4"/>
              <w:numPr>
                <w:ilvl w:val="0"/>
                <w:numId w:val="4"/>
              </w:numPr>
              <w:spacing w:after="0" w:line="240" w:lineRule="auto"/>
              <w:jc w:val="both"/>
              <w:rPr>
                <w:rFonts w:cs="Times New Roman"/>
                <w:iCs/>
                <w:szCs w:val="24"/>
                <w:lang w:val="ro-MD"/>
              </w:rPr>
            </w:pPr>
            <w:r w:rsidRPr="00DD57E3">
              <w:rPr>
                <w:rFonts w:cs="Times New Roman"/>
                <w:iCs/>
                <w:szCs w:val="24"/>
                <w:lang w:val="ro-MD"/>
              </w:rPr>
              <w:t xml:space="preserve">Definirea termenilor </w:t>
            </w:r>
            <w:r w:rsidR="00D84F0C" w:rsidRPr="00DD57E3">
              <w:rPr>
                <w:rFonts w:cs="Times New Roman"/>
                <w:iCs/>
                <w:szCs w:val="24"/>
                <w:lang w:val="ro-MD"/>
              </w:rPr>
              <w:t>ș</w:t>
            </w:r>
            <w:r w:rsidRPr="00DD57E3">
              <w:rPr>
                <w:rFonts w:cs="Times New Roman"/>
                <w:iCs/>
                <w:szCs w:val="24"/>
                <w:lang w:val="ro-MD"/>
              </w:rPr>
              <w:t>i expresiilor de specialitate, care nu sunt prevăzute de cadrul legal existent, precum definirea „</w:t>
            </w:r>
            <w:r w:rsidRPr="00DD57E3">
              <w:rPr>
                <w:rFonts w:cs="Times New Roman"/>
                <w:i/>
                <w:szCs w:val="24"/>
                <w:lang w:val="ro-MD"/>
              </w:rPr>
              <w:t>vehiculelor nepoluante</w:t>
            </w:r>
            <w:r w:rsidRPr="00DD57E3">
              <w:rPr>
                <w:rFonts w:cs="Times New Roman"/>
                <w:iCs/>
                <w:szCs w:val="24"/>
                <w:lang w:val="ro-MD"/>
              </w:rPr>
              <w:t>” prin referire la emisiile de CO</w:t>
            </w:r>
            <w:r w:rsidRPr="00DD57E3">
              <w:rPr>
                <w:rFonts w:cs="Times New Roman"/>
                <w:iCs/>
                <w:szCs w:val="24"/>
                <w:vertAlign w:val="subscript"/>
                <w:lang w:val="ro-MD"/>
              </w:rPr>
              <w:t xml:space="preserve">2 </w:t>
            </w:r>
            <w:r w:rsidR="00D84F0C" w:rsidRPr="00DD57E3">
              <w:rPr>
                <w:rFonts w:cs="Times New Roman"/>
                <w:iCs/>
                <w:szCs w:val="24"/>
                <w:lang w:val="ro-MD"/>
              </w:rPr>
              <w:t>ș</w:t>
            </w:r>
            <w:r w:rsidRPr="00DD57E3">
              <w:rPr>
                <w:rFonts w:cs="Times New Roman"/>
                <w:iCs/>
                <w:szCs w:val="24"/>
                <w:lang w:val="ro-MD"/>
              </w:rPr>
              <w:t>i la emisiile de poluan</w:t>
            </w:r>
            <w:r w:rsidR="00D84F0C" w:rsidRPr="00DD57E3">
              <w:rPr>
                <w:rFonts w:cs="Times New Roman"/>
                <w:iCs/>
                <w:szCs w:val="24"/>
                <w:lang w:val="ro-MD"/>
              </w:rPr>
              <w:t>ț</w:t>
            </w:r>
            <w:r w:rsidRPr="00DD57E3">
              <w:rPr>
                <w:rFonts w:cs="Times New Roman"/>
                <w:iCs/>
                <w:szCs w:val="24"/>
                <w:lang w:val="ro-MD"/>
              </w:rPr>
              <w:t>i în condi</w:t>
            </w:r>
            <w:r w:rsidR="00D84F0C" w:rsidRPr="00DD57E3">
              <w:rPr>
                <w:rFonts w:cs="Times New Roman"/>
                <w:iCs/>
                <w:szCs w:val="24"/>
                <w:lang w:val="ro-MD"/>
              </w:rPr>
              <w:t>ț</w:t>
            </w:r>
            <w:r w:rsidRPr="00DD57E3">
              <w:rPr>
                <w:rFonts w:cs="Times New Roman"/>
                <w:iCs/>
                <w:szCs w:val="24"/>
                <w:lang w:val="ro-MD"/>
              </w:rPr>
              <w:t>ii reale de circula</w:t>
            </w:r>
            <w:r w:rsidR="00D84F0C" w:rsidRPr="00DD57E3">
              <w:rPr>
                <w:rFonts w:cs="Times New Roman"/>
                <w:iCs/>
                <w:szCs w:val="24"/>
                <w:lang w:val="ro-MD"/>
              </w:rPr>
              <w:t>ț</w:t>
            </w:r>
            <w:r w:rsidRPr="00DD57E3">
              <w:rPr>
                <w:rFonts w:cs="Times New Roman"/>
                <w:iCs/>
                <w:szCs w:val="24"/>
                <w:lang w:val="ro-MD"/>
              </w:rPr>
              <w:t>ie în cazul autovehiculelor u</w:t>
            </w:r>
            <w:r w:rsidR="00D84F0C" w:rsidRPr="00DD57E3">
              <w:rPr>
                <w:rFonts w:cs="Times New Roman"/>
                <w:iCs/>
                <w:szCs w:val="24"/>
                <w:lang w:val="ro-MD"/>
              </w:rPr>
              <w:t>ș</w:t>
            </w:r>
            <w:r w:rsidRPr="00DD57E3">
              <w:rPr>
                <w:rFonts w:cs="Times New Roman"/>
                <w:iCs/>
                <w:szCs w:val="24"/>
                <w:lang w:val="ro-MD"/>
              </w:rPr>
              <w:t>oare, respectiv prin tipul de carburan</w:t>
            </w:r>
            <w:r w:rsidR="00D84F0C" w:rsidRPr="00DD57E3">
              <w:rPr>
                <w:rFonts w:cs="Times New Roman"/>
                <w:iCs/>
                <w:szCs w:val="24"/>
                <w:lang w:val="ro-MD"/>
              </w:rPr>
              <w:t>ț</w:t>
            </w:r>
            <w:r w:rsidRPr="00DD57E3">
              <w:rPr>
                <w:rFonts w:cs="Times New Roman"/>
                <w:iCs/>
                <w:szCs w:val="24"/>
                <w:lang w:val="ro-MD"/>
              </w:rPr>
              <w:t>i utiliza</w:t>
            </w:r>
            <w:r w:rsidR="00D84F0C" w:rsidRPr="00DD57E3">
              <w:rPr>
                <w:rFonts w:cs="Times New Roman"/>
                <w:iCs/>
                <w:szCs w:val="24"/>
                <w:lang w:val="ro-MD"/>
              </w:rPr>
              <w:t>ț</w:t>
            </w:r>
            <w:r w:rsidRPr="00DD57E3">
              <w:rPr>
                <w:rFonts w:cs="Times New Roman"/>
                <w:iCs/>
                <w:szCs w:val="24"/>
                <w:lang w:val="ro-MD"/>
              </w:rPr>
              <w:t xml:space="preserve">i în cazul autovehiculelor grele </w:t>
            </w:r>
            <w:r w:rsidR="00D84F0C" w:rsidRPr="00DD57E3">
              <w:rPr>
                <w:rFonts w:cs="Times New Roman"/>
                <w:iCs/>
                <w:szCs w:val="24"/>
                <w:lang w:val="ro-MD"/>
              </w:rPr>
              <w:t>ș</w:t>
            </w:r>
            <w:r w:rsidRPr="00DD57E3">
              <w:rPr>
                <w:rFonts w:cs="Times New Roman"/>
                <w:iCs/>
                <w:szCs w:val="24"/>
                <w:lang w:val="ro-MD"/>
              </w:rPr>
              <w:t xml:space="preserve">i a „vehiculelor grele cu emisii zero” prin referire la tipul motorului utilizat </w:t>
            </w:r>
            <w:r w:rsidR="00D84F0C" w:rsidRPr="00DD57E3">
              <w:rPr>
                <w:rFonts w:cs="Times New Roman"/>
                <w:iCs/>
                <w:szCs w:val="24"/>
                <w:lang w:val="ro-MD"/>
              </w:rPr>
              <w:t>ș</w:t>
            </w:r>
            <w:r w:rsidRPr="00DD57E3">
              <w:rPr>
                <w:rFonts w:cs="Times New Roman"/>
                <w:iCs/>
                <w:szCs w:val="24"/>
                <w:lang w:val="ro-MD"/>
              </w:rPr>
              <w:t>i valoarea emisiei de CO</w:t>
            </w:r>
            <w:r w:rsidRPr="00DD57E3">
              <w:rPr>
                <w:rFonts w:cs="Times New Roman"/>
                <w:iCs/>
                <w:szCs w:val="24"/>
                <w:vertAlign w:val="subscript"/>
                <w:lang w:val="ro-MD"/>
              </w:rPr>
              <w:t>2</w:t>
            </w:r>
            <w:r w:rsidRPr="00DD57E3">
              <w:rPr>
                <w:rFonts w:cs="Times New Roman"/>
                <w:iCs/>
                <w:szCs w:val="24"/>
                <w:lang w:val="ro-MD"/>
              </w:rPr>
              <w:t xml:space="preserve">; </w:t>
            </w:r>
          </w:p>
          <w:p w14:paraId="1FF6F0BC" w14:textId="77777777" w:rsidR="00D91B9B" w:rsidRPr="00DD57E3" w:rsidRDefault="00D91B9B">
            <w:pPr>
              <w:spacing w:after="0" w:line="240" w:lineRule="auto"/>
              <w:jc w:val="both"/>
              <w:rPr>
                <w:rFonts w:ascii="Times New Roman" w:hAnsi="Times New Roman" w:cs="Times New Roman"/>
                <w:iCs/>
                <w:sz w:val="6"/>
                <w:szCs w:val="6"/>
                <w:lang w:val="ro-MD"/>
              </w:rPr>
            </w:pPr>
          </w:p>
          <w:p w14:paraId="5F7E1EFB" w14:textId="494A8342" w:rsidR="00D91B9B" w:rsidRPr="00DD57E3" w:rsidRDefault="00D84F0C" w:rsidP="00D91B9B">
            <w:pPr>
              <w:pStyle w:val="a4"/>
              <w:numPr>
                <w:ilvl w:val="0"/>
                <w:numId w:val="4"/>
              </w:numPr>
              <w:spacing w:after="0" w:line="240" w:lineRule="auto"/>
              <w:jc w:val="both"/>
              <w:rPr>
                <w:rFonts w:cs="Times New Roman"/>
                <w:iCs/>
                <w:szCs w:val="24"/>
                <w:lang w:val="ro-MD"/>
              </w:rPr>
            </w:pPr>
            <w:r w:rsidRPr="00DD57E3">
              <w:rPr>
                <w:rFonts w:cs="Times New Roman"/>
                <w:iCs/>
                <w:szCs w:val="24"/>
                <w:lang w:val="ro-MD"/>
              </w:rPr>
              <w:lastRenderedPageBreak/>
              <w:t>Ț</w:t>
            </w:r>
            <w:r w:rsidR="00416D54" w:rsidRPr="00DD57E3">
              <w:rPr>
                <w:rFonts w:cs="Times New Roman"/>
                <w:iCs/>
                <w:szCs w:val="24"/>
                <w:lang w:val="ro-MD"/>
              </w:rPr>
              <w:t xml:space="preserve">intele </w:t>
            </w:r>
            <w:r w:rsidR="00D91B9B" w:rsidRPr="00DD57E3">
              <w:rPr>
                <w:rFonts w:cs="Times New Roman"/>
                <w:iCs/>
                <w:szCs w:val="24"/>
                <w:lang w:val="ro-MD"/>
              </w:rPr>
              <w:t>minime privind achizi</w:t>
            </w:r>
            <w:r w:rsidRPr="00DD57E3">
              <w:rPr>
                <w:rFonts w:cs="Times New Roman"/>
                <w:iCs/>
                <w:szCs w:val="24"/>
                <w:lang w:val="ro-MD"/>
              </w:rPr>
              <w:t>ț</w:t>
            </w:r>
            <w:r w:rsidR="00D91B9B" w:rsidRPr="00DD57E3">
              <w:rPr>
                <w:rFonts w:cs="Times New Roman"/>
                <w:iCs/>
                <w:szCs w:val="24"/>
                <w:lang w:val="ro-MD"/>
              </w:rPr>
              <w:t>iile de vehicule nepoluante ce trebuie atinse de către autorită</w:t>
            </w:r>
            <w:r w:rsidRPr="00DD57E3">
              <w:rPr>
                <w:rFonts w:cs="Times New Roman"/>
                <w:iCs/>
                <w:szCs w:val="24"/>
                <w:lang w:val="ro-MD"/>
              </w:rPr>
              <w:t>ț</w:t>
            </w:r>
            <w:r w:rsidR="00D91B9B" w:rsidRPr="00DD57E3">
              <w:rPr>
                <w:rFonts w:cs="Times New Roman"/>
                <w:iCs/>
                <w:szCs w:val="24"/>
                <w:lang w:val="ro-MD"/>
              </w:rPr>
              <w:t xml:space="preserve">ile contractante </w:t>
            </w:r>
            <w:r w:rsidRPr="00DD57E3">
              <w:rPr>
                <w:rFonts w:cs="Times New Roman"/>
                <w:iCs/>
                <w:szCs w:val="24"/>
                <w:lang w:val="ro-MD"/>
              </w:rPr>
              <w:t>ș</w:t>
            </w:r>
            <w:r w:rsidR="00D91B9B" w:rsidRPr="00DD57E3">
              <w:rPr>
                <w:rFonts w:cs="Times New Roman"/>
                <w:iCs/>
                <w:szCs w:val="24"/>
                <w:lang w:val="ro-MD"/>
              </w:rPr>
              <w:t>i entită</w:t>
            </w:r>
            <w:r w:rsidRPr="00DD57E3">
              <w:rPr>
                <w:rFonts w:cs="Times New Roman"/>
                <w:iCs/>
                <w:szCs w:val="24"/>
                <w:lang w:val="ro-MD"/>
              </w:rPr>
              <w:t>ț</w:t>
            </w:r>
            <w:r w:rsidR="00D91B9B" w:rsidRPr="00DD57E3">
              <w:rPr>
                <w:rFonts w:cs="Times New Roman"/>
                <w:iCs/>
                <w:szCs w:val="24"/>
                <w:lang w:val="ro-MD"/>
              </w:rPr>
              <w:t>ile contractante în procesul de achizi</w:t>
            </w:r>
            <w:r w:rsidRPr="00DD57E3">
              <w:rPr>
                <w:rFonts w:cs="Times New Roman"/>
                <w:iCs/>
                <w:szCs w:val="24"/>
                <w:lang w:val="ro-MD"/>
              </w:rPr>
              <w:t>ț</w:t>
            </w:r>
            <w:r w:rsidR="00D91B9B" w:rsidRPr="00DD57E3">
              <w:rPr>
                <w:rFonts w:cs="Times New Roman"/>
                <w:iCs/>
                <w:szCs w:val="24"/>
                <w:lang w:val="ro-MD"/>
              </w:rPr>
              <w:t xml:space="preserve">ie publică sau după caz sectorială, derulat pentru atribuirea tipurilor de contracte vizate de prezentul Proiect. Aceste </w:t>
            </w:r>
            <w:r w:rsidRPr="00DD57E3">
              <w:rPr>
                <w:rFonts w:cs="Times New Roman"/>
                <w:iCs/>
                <w:szCs w:val="24"/>
                <w:lang w:val="ro-MD"/>
              </w:rPr>
              <w:t>ț</w:t>
            </w:r>
            <w:r w:rsidR="00F949DB" w:rsidRPr="00DD57E3">
              <w:rPr>
                <w:rFonts w:cs="Times New Roman"/>
                <w:iCs/>
                <w:szCs w:val="24"/>
                <w:lang w:val="ro-MD"/>
              </w:rPr>
              <w:t>inte</w:t>
            </w:r>
            <w:r w:rsidR="00D91B9B" w:rsidRPr="00DD57E3">
              <w:rPr>
                <w:rFonts w:cs="Times New Roman"/>
                <w:iCs/>
                <w:szCs w:val="24"/>
                <w:lang w:val="ro-MD"/>
              </w:rPr>
              <w:t xml:space="preserve"> sunt exprimate în mod distinct, ca procente minime de vehicule nepoluante din numărul total al vehiculelor de transport rutier vizate ce vor fi achizi</w:t>
            </w:r>
            <w:r w:rsidRPr="00DD57E3">
              <w:rPr>
                <w:rFonts w:cs="Times New Roman"/>
                <w:iCs/>
                <w:szCs w:val="24"/>
                <w:lang w:val="ro-MD"/>
              </w:rPr>
              <w:t>ț</w:t>
            </w:r>
            <w:r w:rsidR="00D91B9B" w:rsidRPr="00DD57E3">
              <w:rPr>
                <w:rFonts w:cs="Times New Roman"/>
                <w:iCs/>
                <w:szCs w:val="24"/>
                <w:lang w:val="ro-MD"/>
              </w:rPr>
              <w:t>ionate. Referitor la vehiculele u</w:t>
            </w:r>
            <w:r w:rsidRPr="00DD57E3">
              <w:rPr>
                <w:rFonts w:cs="Times New Roman"/>
                <w:iCs/>
                <w:szCs w:val="24"/>
                <w:lang w:val="ro-MD"/>
              </w:rPr>
              <w:t>ș</w:t>
            </w:r>
            <w:r w:rsidR="00D91B9B" w:rsidRPr="00DD57E3">
              <w:rPr>
                <w:rFonts w:cs="Times New Roman"/>
                <w:iCs/>
                <w:szCs w:val="24"/>
                <w:lang w:val="ro-MD"/>
              </w:rPr>
              <w:t xml:space="preserve">oare nepoluante, care fac obiectul </w:t>
            </w:r>
            <w:r w:rsidRPr="00DD57E3">
              <w:rPr>
                <w:rFonts w:cs="Times New Roman"/>
                <w:iCs/>
                <w:szCs w:val="24"/>
                <w:lang w:val="ro-MD"/>
              </w:rPr>
              <w:t>ț</w:t>
            </w:r>
            <w:r w:rsidR="00D91B9B" w:rsidRPr="00DD57E3">
              <w:rPr>
                <w:rFonts w:cs="Times New Roman"/>
                <w:iCs/>
                <w:szCs w:val="24"/>
                <w:lang w:val="ro-MD"/>
              </w:rPr>
              <w:t>intelor ce trebuie atinse conform proiectului, acestea sunt definite în func</w:t>
            </w:r>
            <w:r w:rsidRPr="00DD57E3">
              <w:rPr>
                <w:rFonts w:cs="Times New Roman"/>
                <w:iCs/>
                <w:szCs w:val="24"/>
                <w:lang w:val="ro-MD"/>
              </w:rPr>
              <w:t>ț</w:t>
            </w:r>
            <w:r w:rsidR="00D91B9B" w:rsidRPr="00DD57E3">
              <w:rPr>
                <w:rFonts w:cs="Times New Roman"/>
                <w:iCs/>
                <w:szCs w:val="24"/>
                <w:lang w:val="ro-MD"/>
              </w:rPr>
              <w:t>ie de valorile emisiilor de CO</w:t>
            </w:r>
            <w:r w:rsidR="00D91B9B" w:rsidRPr="00DD57E3">
              <w:rPr>
                <w:rFonts w:cs="Times New Roman"/>
                <w:iCs/>
                <w:szCs w:val="24"/>
                <w:vertAlign w:val="subscript"/>
                <w:lang w:val="ro-MD"/>
              </w:rPr>
              <w:t>2</w:t>
            </w:r>
            <w:r w:rsidR="00D91B9B" w:rsidRPr="00DD57E3">
              <w:rPr>
                <w:rFonts w:cs="Times New Roman"/>
                <w:iCs/>
                <w:szCs w:val="24"/>
                <w:lang w:val="ro-MD"/>
              </w:rPr>
              <w:t xml:space="preserve"> </w:t>
            </w:r>
            <w:r w:rsidRPr="00DD57E3">
              <w:rPr>
                <w:rFonts w:cs="Times New Roman"/>
                <w:iCs/>
                <w:szCs w:val="24"/>
                <w:lang w:val="ro-MD"/>
              </w:rPr>
              <w:t>ș</w:t>
            </w:r>
            <w:r w:rsidR="00D91B9B" w:rsidRPr="00DD57E3">
              <w:rPr>
                <w:rFonts w:cs="Times New Roman"/>
                <w:iCs/>
                <w:szCs w:val="24"/>
                <w:lang w:val="ro-MD"/>
              </w:rPr>
              <w:t>i de emisiile de poluan</w:t>
            </w:r>
            <w:r w:rsidRPr="00DD57E3">
              <w:rPr>
                <w:rFonts w:cs="Times New Roman"/>
                <w:iCs/>
                <w:szCs w:val="24"/>
                <w:lang w:val="ro-MD"/>
              </w:rPr>
              <w:t>ț</w:t>
            </w:r>
            <w:r w:rsidR="00D91B9B" w:rsidRPr="00DD57E3">
              <w:rPr>
                <w:rFonts w:cs="Times New Roman"/>
                <w:iCs/>
                <w:szCs w:val="24"/>
                <w:lang w:val="ro-MD"/>
              </w:rPr>
              <w:t>i atmosferici generate în condi</w:t>
            </w:r>
            <w:r w:rsidRPr="00DD57E3">
              <w:rPr>
                <w:rFonts w:cs="Times New Roman"/>
                <w:iCs/>
                <w:szCs w:val="24"/>
                <w:lang w:val="ro-MD"/>
              </w:rPr>
              <w:t>ț</w:t>
            </w:r>
            <w:r w:rsidR="00D91B9B" w:rsidRPr="00DD57E3">
              <w:rPr>
                <w:rFonts w:cs="Times New Roman"/>
                <w:iCs/>
                <w:szCs w:val="24"/>
                <w:lang w:val="ro-MD"/>
              </w:rPr>
              <w:t>ii reale de conducere. Valorile maxime declarate în condi</w:t>
            </w:r>
            <w:r w:rsidRPr="00DD57E3">
              <w:rPr>
                <w:rFonts w:cs="Times New Roman"/>
                <w:iCs/>
                <w:szCs w:val="24"/>
                <w:lang w:val="ro-MD"/>
              </w:rPr>
              <w:t>ț</w:t>
            </w:r>
            <w:r w:rsidR="00D91B9B" w:rsidRPr="00DD57E3">
              <w:rPr>
                <w:rFonts w:cs="Times New Roman"/>
                <w:iCs/>
                <w:szCs w:val="24"/>
                <w:lang w:val="ro-MD"/>
              </w:rPr>
              <w:t xml:space="preserve">ii reale de conducere sunt valorile stabilite la omologarea de tip a vehiculului </w:t>
            </w:r>
            <w:r w:rsidRPr="00DD57E3">
              <w:rPr>
                <w:rFonts w:cs="Times New Roman"/>
                <w:iCs/>
                <w:szCs w:val="24"/>
                <w:lang w:val="ro-MD"/>
              </w:rPr>
              <w:t>ș</w:t>
            </w:r>
            <w:r w:rsidR="00D91B9B" w:rsidRPr="00DD57E3">
              <w:rPr>
                <w:rFonts w:cs="Times New Roman"/>
                <w:iCs/>
                <w:szCs w:val="24"/>
                <w:lang w:val="ro-MD"/>
              </w:rPr>
              <w:t>i sunt cele men</w:t>
            </w:r>
            <w:r w:rsidRPr="00DD57E3">
              <w:rPr>
                <w:rFonts w:cs="Times New Roman"/>
                <w:iCs/>
                <w:szCs w:val="24"/>
                <w:lang w:val="ro-MD"/>
              </w:rPr>
              <w:t>ț</w:t>
            </w:r>
            <w:r w:rsidR="00D91B9B" w:rsidRPr="00DD57E3">
              <w:rPr>
                <w:rFonts w:cs="Times New Roman"/>
                <w:iCs/>
                <w:szCs w:val="24"/>
                <w:lang w:val="ro-MD"/>
              </w:rPr>
              <w:t xml:space="preserve">ionate în certificatul de conformitate eliberat de producător pentru fiecare vehicul. </w:t>
            </w:r>
          </w:p>
          <w:p w14:paraId="0477765A" w14:textId="77777777" w:rsidR="00D91B9B" w:rsidRPr="00DD57E3" w:rsidRDefault="00D91B9B">
            <w:pPr>
              <w:pStyle w:val="a4"/>
              <w:spacing w:after="0" w:line="240" w:lineRule="auto"/>
              <w:jc w:val="both"/>
              <w:rPr>
                <w:rFonts w:cs="Times New Roman"/>
                <w:iCs/>
                <w:sz w:val="6"/>
                <w:szCs w:val="6"/>
                <w:lang w:val="ro-MD"/>
              </w:rPr>
            </w:pPr>
          </w:p>
          <w:p w14:paraId="76041523" w14:textId="59E1D01B" w:rsidR="00D91B9B" w:rsidRPr="00DD57E3" w:rsidRDefault="00D91B9B" w:rsidP="00D91B9B">
            <w:pPr>
              <w:pStyle w:val="a4"/>
              <w:numPr>
                <w:ilvl w:val="0"/>
                <w:numId w:val="4"/>
              </w:numPr>
              <w:spacing w:after="0" w:line="240" w:lineRule="auto"/>
              <w:jc w:val="both"/>
              <w:rPr>
                <w:rFonts w:cs="Times New Roman"/>
                <w:iCs/>
                <w:szCs w:val="24"/>
                <w:lang w:val="ro-MD"/>
              </w:rPr>
            </w:pPr>
            <w:r w:rsidRPr="00DD57E3">
              <w:rPr>
                <w:rFonts w:cs="Times New Roman"/>
                <w:iCs/>
                <w:szCs w:val="24"/>
                <w:lang w:val="ro-MD"/>
              </w:rPr>
              <w:t xml:space="preserve">Stabilirea de </w:t>
            </w:r>
            <w:r w:rsidR="00D84F0C" w:rsidRPr="00DD57E3">
              <w:rPr>
                <w:rFonts w:cs="Times New Roman"/>
                <w:iCs/>
                <w:szCs w:val="24"/>
                <w:lang w:val="ro-MD"/>
              </w:rPr>
              <w:t>ț</w:t>
            </w:r>
            <w:r w:rsidRPr="00DD57E3">
              <w:rPr>
                <w:rFonts w:cs="Times New Roman"/>
                <w:iCs/>
                <w:szCs w:val="24"/>
                <w:lang w:val="ro-MD"/>
              </w:rPr>
              <w:t>inte minime privind achizi</w:t>
            </w:r>
            <w:r w:rsidR="00D84F0C" w:rsidRPr="00DD57E3">
              <w:rPr>
                <w:rFonts w:cs="Times New Roman"/>
                <w:iCs/>
                <w:szCs w:val="24"/>
                <w:lang w:val="ro-MD"/>
              </w:rPr>
              <w:t>ț</w:t>
            </w:r>
            <w:r w:rsidRPr="00DD57E3">
              <w:rPr>
                <w:rFonts w:cs="Times New Roman"/>
                <w:iCs/>
                <w:szCs w:val="24"/>
                <w:lang w:val="ro-MD"/>
              </w:rPr>
              <w:t xml:space="preserve">iile publice de vehicule nepoluante contribuie la realizarea obiectivului de a promova </w:t>
            </w:r>
            <w:r w:rsidR="00D84F0C" w:rsidRPr="00DD57E3">
              <w:rPr>
                <w:rFonts w:cs="Times New Roman"/>
                <w:iCs/>
                <w:szCs w:val="24"/>
                <w:lang w:val="ro-MD"/>
              </w:rPr>
              <w:t>ș</w:t>
            </w:r>
            <w:r w:rsidRPr="00DD57E3">
              <w:rPr>
                <w:rFonts w:cs="Times New Roman"/>
                <w:iCs/>
                <w:szCs w:val="24"/>
                <w:lang w:val="ro-MD"/>
              </w:rPr>
              <w:t>i a stimula introducerea pe pia</w:t>
            </w:r>
            <w:r w:rsidR="00D84F0C" w:rsidRPr="00DD57E3">
              <w:rPr>
                <w:rFonts w:cs="Times New Roman"/>
                <w:iCs/>
                <w:szCs w:val="24"/>
                <w:lang w:val="ro-MD"/>
              </w:rPr>
              <w:t>ț</w:t>
            </w:r>
            <w:r w:rsidRPr="00DD57E3">
              <w:rPr>
                <w:rFonts w:cs="Times New Roman"/>
                <w:iCs/>
                <w:szCs w:val="24"/>
                <w:lang w:val="ro-MD"/>
              </w:rPr>
              <w:t>ă a vehiculelor nepoluante, asigurând totodată o suficientă flexibilizare pentru autorită</w:t>
            </w:r>
            <w:r w:rsidR="00D84F0C" w:rsidRPr="00DD57E3">
              <w:rPr>
                <w:rFonts w:cs="Times New Roman"/>
                <w:iCs/>
                <w:szCs w:val="24"/>
                <w:lang w:val="ro-MD"/>
              </w:rPr>
              <w:t>ț</w:t>
            </w:r>
            <w:r w:rsidRPr="00DD57E3">
              <w:rPr>
                <w:rFonts w:cs="Times New Roman"/>
                <w:iCs/>
                <w:szCs w:val="24"/>
                <w:lang w:val="ro-MD"/>
              </w:rPr>
              <w:t xml:space="preserve">ile </w:t>
            </w:r>
            <w:r w:rsidR="00D84F0C" w:rsidRPr="00DD57E3">
              <w:rPr>
                <w:rFonts w:cs="Times New Roman"/>
                <w:iCs/>
                <w:szCs w:val="24"/>
                <w:lang w:val="ro-MD"/>
              </w:rPr>
              <w:t>ș</w:t>
            </w:r>
            <w:r w:rsidRPr="00DD57E3">
              <w:rPr>
                <w:rFonts w:cs="Times New Roman"/>
                <w:iCs/>
                <w:szCs w:val="24"/>
                <w:lang w:val="ro-MD"/>
              </w:rPr>
              <w:t>i entită</w:t>
            </w:r>
            <w:r w:rsidR="00D84F0C" w:rsidRPr="00DD57E3">
              <w:rPr>
                <w:rFonts w:cs="Times New Roman"/>
                <w:iCs/>
                <w:szCs w:val="24"/>
                <w:lang w:val="ro-MD"/>
              </w:rPr>
              <w:t>ț</w:t>
            </w:r>
            <w:r w:rsidRPr="00DD57E3">
              <w:rPr>
                <w:rFonts w:cs="Times New Roman"/>
                <w:iCs/>
                <w:szCs w:val="24"/>
                <w:lang w:val="ro-MD"/>
              </w:rPr>
              <w:t xml:space="preserve">ile contractante în alegerea tehnologiilor </w:t>
            </w:r>
            <w:r w:rsidR="00D84F0C" w:rsidRPr="00DD57E3">
              <w:rPr>
                <w:rFonts w:cs="Times New Roman"/>
                <w:iCs/>
                <w:szCs w:val="24"/>
                <w:lang w:val="ro-MD"/>
              </w:rPr>
              <w:t>ș</w:t>
            </w:r>
            <w:r w:rsidRPr="00DD57E3">
              <w:rPr>
                <w:rFonts w:cs="Times New Roman"/>
                <w:iCs/>
                <w:szCs w:val="24"/>
                <w:lang w:val="ro-MD"/>
              </w:rPr>
              <w:t>i criteriilor la care recurg în vederea realizării respectivelor achizi</w:t>
            </w:r>
            <w:r w:rsidR="00D84F0C" w:rsidRPr="00DD57E3">
              <w:rPr>
                <w:rFonts w:cs="Times New Roman"/>
                <w:iCs/>
                <w:szCs w:val="24"/>
                <w:lang w:val="ro-MD"/>
              </w:rPr>
              <w:t>ț</w:t>
            </w:r>
            <w:r w:rsidRPr="00DD57E3">
              <w:rPr>
                <w:rFonts w:cs="Times New Roman"/>
                <w:iCs/>
                <w:szCs w:val="24"/>
                <w:lang w:val="ro-MD"/>
              </w:rPr>
              <w:t xml:space="preserve">ii. </w:t>
            </w:r>
          </w:p>
          <w:p w14:paraId="15ABD3A2" w14:textId="77777777" w:rsidR="00D91B9B" w:rsidRPr="00DD57E3" w:rsidRDefault="00D91B9B">
            <w:pPr>
              <w:pStyle w:val="a4"/>
              <w:rPr>
                <w:rFonts w:cs="Times New Roman"/>
                <w:iCs/>
                <w:sz w:val="6"/>
                <w:szCs w:val="6"/>
                <w:lang w:val="ro-MD"/>
              </w:rPr>
            </w:pPr>
          </w:p>
          <w:p w14:paraId="7BE2A153" w14:textId="5DE278D1" w:rsidR="00D91B9B" w:rsidRPr="00DD57E3" w:rsidRDefault="00D91B9B" w:rsidP="00D91B9B">
            <w:pPr>
              <w:pStyle w:val="a4"/>
              <w:numPr>
                <w:ilvl w:val="0"/>
                <w:numId w:val="4"/>
              </w:numPr>
              <w:spacing w:after="0" w:line="240" w:lineRule="auto"/>
              <w:jc w:val="both"/>
              <w:rPr>
                <w:rFonts w:cs="Times New Roman"/>
                <w:iCs/>
                <w:szCs w:val="24"/>
                <w:lang w:val="ro-MD"/>
              </w:rPr>
            </w:pPr>
            <w:r w:rsidRPr="00DD57E3">
              <w:rPr>
                <w:rFonts w:cs="Times New Roman"/>
                <w:iCs/>
                <w:szCs w:val="24"/>
                <w:lang w:val="ro-MD"/>
              </w:rPr>
              <w:t>Data achizi</w:t>
            </w:r>
            <w:r w:rsidR="00D84F0C" w:rsidRPr="00DD57E3">
              <w:rPr>
                <w:rFonts w:cs="Times New Roman"/>
                <w:iCs/>
                <w:szCs w:val="24"/>
                <w:lang w:val="ro-MD"/>
              </w:rPr>
              <w:t>ț</w:t>
            </w:r>
            <w:r w:rsidRPr="00DD57E3">
              <w:rPr>
                <w:rFonts w:cs="Times New Roman"/>
                <w:iCs/>
                <w:szCs w:val="24"/>
                <w:lang w:val="ro-MD"/>
              </w:rPr>
              <w:t>iei publice, respectiv data achizi</w:t>
            </w:r>
            <w:r w:rsidR="00D84F0C" w:rsidRPr="00DD57E3">
              <w:rPr>
                <w:rFonts w:cs="Times New Roman"/>
                <w:iCs/>
                <w:szCs w:val="24"/>
                <w:lang w:val="ro-MD"/>
              </w:rPr>
              <w:t>ț</w:t>
            </w:r>
            <w:r w:rsidRPr="00DD57E3">
              <w:rPr>
                <w:rFonts w:cs="Times New Roman"/>
                <w:iCs/>
                <w:szCs w:val="24"/>
                <w:lang w:val="ro-MD"/>
              </w:rPr>
              <w:t xml:space="preserve">iei sectoriale, care trebuie luată în considerare în scopul calculării </w:t>
            </w:r>
            <w:r w:rsidR="00D84F0C" w:rsidRPr="00DD57E3">
              <w:rPr>
                <w:rFonts w:cs="Times New Roman"/>
                <w:iCs/>
                <w:szCs w:val="24"/>
                <w:lang w:val="ro-MD"/>
              </w:rPr>
              <w:t>ț</w:t>
            </w:r>
            <w:r w:rsidRPr="00DD57E3">
              <w:rPr>
                <w:rFonts w:cs="Times New Roman"/>
                <w:iCs/>
                <w:szCs w:val="24"/>
                <w:lang w:val="ro-MD"/>
              </w:rPr>
              <w:t>intelor minime, este data publicării anun</w:t>
            </w:r>
            <w:r w:rsidR="00D84F0C" w:rsidRPr="00DD57E3">
              <w:rPr>
                <w:rFonts w:cs="Times New Roman"/>
                <w:iCs/>
                <w:szCs w:val="24"/>
                <w:lang w:val="ro-MD"/>
              </w:rPr>
              <w:t>ț</w:t>
            </w:r>
            <w:r w:rsidRPr="00DD57E3">
              <w:rPr>
                <w:rFonts w:cs="Times New Roman"/>
                <w:iCs/>
                <w:szCs w:val="24"/>
                <w:lang w:val="ro-MD"/>
              </w:rPr>
              <w:t>ului de atribuire în conformitate cu legisla</w:t>
            </w:r>
            <w:r w:rsidR="00D84F0C" w:rsidRPr="00DD57E3">
              <w:rPr>
                <w:rFonts w:cs="Times New Roman"/>
                <w:iCs/>
                <w:szCs w:val="24"/>
                <w:lang w:val="ro-MD"/>
              </w:rPr>
              <w:t>ț</w:t>
            </w:r>
            <w:r w:rsidRPr="00DD57E3">
              <w:rPr>
                <w:rFonts w:cs="Times New Roman"/>
                <w:iCs/>
                <w:szCs w:val="24"/>
                <w:lang w:val="ro-MD"/>
              </w:rPr>
              <w:t>ia în domeniul achizi</w:t>
            </w:r>
            <w:r w:rsidR="00D84F0C" w:rsidRPr="00DD57E3">
              <w:rPr>
                <w:rFonts w:cs="Times New Roman"/>
                <w:iCs/>
                <w:szCs w:val="24"/>
                <w:lang w:val="ro-MD"/>
              </w:rPr>
              <w:t>ț</w:t>
            </w:r>
            <w:r w:rsidRPr="00DD57E3">
              <w:rPr>
                <w:rFonts w:cs="Times New Roman"/>
                <w:iCs/>
                <w:szCs w:val="24"/>
                <w:lang w:val="ro-MD"/>
              </w:rPr>
              <w:t xml:space="preserve">iilor publice/sectoriale (conform interpretărilor oficiale oferite prin Comunicarea Comisiei nr. 2020/C 352/01 privind aplicarea articolelor 2, 3, 4 </w:t>
            </w:r>
            <w:r w:rsidR="00D84F0C" w:rsidRPr="00DD57E3">
              <w:rPr>
                <w:rFonts w:cs="Times New Roman"/>
                <w:iCs/>
                <w:szCs w:val="24"/>
                <w:lang w:val="ro-MD"/>
              </w:rPr>
              <w:t>ș</w:t>
            </w:r>
            <w:r w:rsidRPr="00DD57E3">
              <w:rPr>
                <w:rFonts w:cs="Times New Roman"/>
                <w:iCs/>
                <w:szCs w:val="24"/>
                <w:lang w:val="ro-MD"/>
              </w:rPr>
              <w:t>i 5 din Directiva 2009/33/CE (astfel cum a fost modificată prin Directiva (UE) 2019/1161);</w:t>
            </w:r>
          </w:p>
          <w:p w14:paraId="4053E530" w14:textId="77777777" w:rsidR="00D91B9B" w:rsidRPr="00DD57E3" w:rsidRDefault="00D91B9B">
            <w:pPr>
              <w:spacing w:after="0" w:line="240" w:lineRule="auto"/>
              <w:jc w:val="both"/>
              <w:rPr>
                <w:rFonts w:ascii="Times New Roman" w:hAnsi="Times New Roman" w:cs="Times New Roman"/>
                <w:iCs/>
                <w:sz w:val="6"/>
                <w:szCs w:val="6"/>
                <w:lang w:val="ro-MD"/>
              </w:rPr>
            </w:pPr>
          </w:p>
          <w:p w14:paraId="6D8C3BF9" w14:textId="666D0CE9" w:rsidR="00D91B9B" w:rsidRPr="00DD57E3" w:rsidRDefault="345B8B47" w:rsidP="345B8B47">
            <w:pPr>
              <w:pStyle w:val="a4"/>
              <w:numPr>
                <w:ilvl w:val="0"/>
                <w:numId w:val="4"/>
              </w:numPr>
              <w:spacing w:after="0" w:line="240" w:lineRule="auto"/>
              <w:jc w:val="both"/>
              <w:rPr>
                <w:rFonts w:cs="Times New Roman"/>
                <w:lang w:val="ro-MD"/>
              </w:rPr>
            </w:pPr>
            <w:r w:rsidRPr="00DD57E3">
              <w:rPr>
                <w:rFonts w:cs="Times New Roman"/>
                <w:lang w:val="ro-MD"/>
              </w:rPr>
              <w:t>Perioadele de referin</w:t>
            </w:r>
            <w:r w:rsidR="00D84F0C" w:rsidRPr="00DD57E3">
              <w:rPr>
                <w:rFonts w:cs="Times New Roman"/>
                <w:lang w:val="ro-MD"/>
              </w:rPr>
              <w:t>ț</w:t>
            </w:r>
            <w:r w:rsidRPr="00DD57E3">
              <w:rPr>
                <w:rFonts w:cs="Times New Roman"/>
                <w:lang w:val="ro-MD"/>
              </w:rPr>
              <w:t xml:space="preserve">ă la care se raportează </w:t>
            </w:r>
            <w:r w:rsidR="00D84F0C" w:rsidRPr="00DD57E3">
              <w:rPr>
                <w:rFonts w:cs="Times New Roman"/>
                <w:lang w:val="ro-MD"/>
              </w:rPr>
              <w:t>ț</w:t>
            </w:r>
            <w:r w:rsidRPr="00DD57E3">
              <w:rPr>
                <w:rFonts w:cs="Times New Roman"/>
                <w:lang w:val="ro-MD"/>
              </w:rPr>
              <w:t xml:space="preserve">intele stabilite în calitate de cote minime (de la 01 ianuarie 2026 </w:t>
            </w:r>
            <w:r w:rsidR="00D84F0C" w:rsidRPr="00DD57E3">
              <w:rPr>
                <w:rFonts w:cs="Times New Roman"/>
                <w:lang w:val="ro-MD"/>
              </w:rPr>
              <w:t>ș</w:t>
            </w:r>
            <w:r w:rsidRPr="00DD57E3">
              <w:rPr>
                <w:rFonts w:cs="Times New Roman"/>
                <w:lang w:val="ro-MD"/>
              </w:rPr>
              <w:t xml:space="preserve">i până la 31 decembrie 2030, de la 01 ianuarie 2030 </w:t>
            </w:r>
            <w:r w:rsidR="00D84F0C" w:rsidRPr="00DD57E3">
              <w:rPr>
                <w:rFonts w:cs="Times New Roman"/>
                <w:lang w:val="ro-MD"/>
              </w:rPr>
              <w:t>ș</w:t>
            </w:r>
            <w:r w:rsidRPr="00DD57E3">
              <w:rPr>
                <w:rFonts w:cs="Times New Roman"/>
                <w:lang w:val="ro-MD"/>
              </w:rPr>
              <w:t>i până la 31 decembrie 2035);</w:t>
            </w:r>
          </w:p>
          <w:p w14:paraId="37E5C1FC" w14:textId="77777777" w:rsidR="00D91B9B" w:rsidRPr="00DD57E3" w:rsidRDefault="00D91B9B">
            <w:pPr>
              <w:spacing w:after="0" w:line="240" w:lineRule="auto"/>
              <w:jc w:val="both"/>
              <w:rPr>
                <w:rFonts w:ascii="Times New Roman" w:hAnsi="Times New Roman" w:cs="Times New Roman"/>
                <w:iCs/>
                <w:sz w:val="6"/>
                <w:szCs w:val="6"/>
                <w:lang w:val="ro-MD"/>
              </w:rPr>
            </w:pPr>
            <w:r w:rsidRPr="00DD57E3">
              <w:rPr>
                <w:rFonts w:ascii="Times New Roman" w:hAnsi="Times New Roman" w:cs="Times New Roman"/>
                <w:iCs/>
                <w:sz w:val="24"/>
                <w:szCs w:val="24"/>
                <w:lang w:val="ro-MD"/>
              </w:rPr>
              <w:t xml:space="preserve"> </w:t>
            </w:r>
          </w:p>
          <w:p w14:paraId="044FA436" w14:textId="4A9F46EA" w:rsidR="00D91B9B" w:rsidRPr="00DD57E3" w:rsidRDefault="345B8B47" w:rsidP="345B8B47">
            <w:pPr>
              <w:pStyle w:val="a4"/>
              <w:numPr>
                <w:ilvl w:val="0"/>
                <w:numId w:val="4"/>
              </w:numPr>
              <w:spacing w:after="0" w:line="240" w:lineRule="auto"/>
              <w:jc w:val="both"/>
              <w:rPr>
                <w:rFonts w:cs="Times New Roman"/>
                <w:lang w:val="ro-MD"/>
              </w:rPr>
            </w:pPr>
            <w:r w:rsidRPr="00DD57E3">
              <w:rPr>
                <w:rFonts w:cs="Times New Roman"/>
                <w:lang w:val="ro-MD"/>
              </w:rPr>
              <w:t>Cerin</w:t>
            </w:r>
            <w:r w:rsidR="00D84F0C" w:rsidRPr="00DD57E3">
              <w:rPr>
                <w:rFonts w:cs="Times New Roman"/>
                <w:lang w:val="ro-MD"/>
              </w:rPr>
              <w:t>ț</w:t>
            </w:r>
            <w:r w:rsidRPr="00DD57E3">
              <w:rPr>
                <w:rFonts w:cs="Times New Roman"/>
                <w:lang w:val="ro-MD"/>
              </w:rPr>
              <w:t>ele de raportare a măsurilor întreprinse în vederea punerii în aplicare a prevederilor legii, inclusiv cu privire la calendarul ac</w:t>
            </w:r>
            <w:r w:rsidR="00D84F0C" w:rsidRPr="00DD57E3">
              <w:rPr>
                <w:rFonts w:cs="Times New Roman"/>
                <w:lang w:val="ro-MD"/>
              </w:rPr>
              <w:t>ț</w:t>
            </w:r>
            <w:r w:rsidRPr="00DD57E3">
              <w:rPr>
                <w:rFonts w:cs="Times New Roman"/>
                <w:lang w:val="ro-MD"/>
              </w:rPr>
              <w:t xml:space="preserve">iunilor </w:t>
            </w:r>
            <w:r w:rsidR="00D84F0C" w:rsidRPr="00DD57E3">
              <w:rPr>
                <w:rFonts w:cs="Times New Roman"/>
                <w:lang w:val="ro-MD"/>
              </w:rPr>
              <w:t>ș</w:t>
            </w:r>
            <w:r w:rsidRPr="00DD57E3">
              <w:rPr>
                <w:rFonts w:cs="Times New Roman"/>
                <w:lang w:val="ro-MD"/>
              </w:rPr>
              <w:t>i repartizarea responsabilită</w:t>
            </w:r>
            <w:r w:rsidR="00D84F0C" w:rsidRPr="00DD57E3">
              <w:rPr>
                <w:rFonts w:cs="Times New Roman"/>
                <w:lang w:val="ro-MD"/>
              </w:rPr>
              <w:t>ț</w:t>
            </w:r>
            <w:r w:rsidRPr="00DD57E3">
              <w:rPr>
                <w:rFonts w:cs="Times New Roman"/>
                <w:lang w:val="ro-MD"/>
              </w:rPr>
              <w:t>ilor între autorită</w:t>
            </w:r>
            <w:r w:rsidR="00D84F0C" w:rsidRPr="00DD57E3">
              <w:rPr>
                <w:rFonts w:cs="Times New Roman"/>
                <w:lang w:val="ro-MD"/>
              </w:rPr>
              <w:t>ț</w:t>
            </w:r>
            <w:r w:rsidRPr="00DD57E3">
              <w:rPr>
                <w:rFonts w:cs="Times New Roman"/>
                <w:lang w:val="ro-MD"/>
              </w:rPr>
              <w:t>ile competente la nivel na</w:t>
            </w:r>
            <w:r w:rsidR="00D84F0C" w:rsidRPr="00DD57E3">
              <w:rPr>
                <w:rFonts w:cs="Times New Roman"/>
                <w:lang w:val="ro-MD"/>
              </w:rPr>
              <w:t>ț</w:t>
            </w:r>
            <w:r w:rsidRPr="00DD57E3">
              <w:rPr>
                <w:rFonts w:cs="Times New Roman"/>
                <w:lang w:val="ro-MD"/>
              </w:rPr>
              <w:t xml:space="preserve">ional, precum </w:t>
            </w:r>
            <w:r w:rsidR="00D84F0C" w:rsidRPr="00DD57E3">
              <w:rPr>
                <w:rFonts w:cs="Times New Roman"/>
                <w:lang w:val="ro-MD"/>
              </w:rPr>
              <w:t>ș</w:t>
            </w:r>
            <w:r w:rsidRPr="00DD57E3">
              <w:rPr>
                <w:rFonts w:cs="Times New Roman"/>
                <w:lang w:val="ro-MD"/>
              </w:rPr>
              <w:t>i orice alte informa</w:t>
            </w:r>
            <w:r w:rsidR="00D84F0C" w:rsidRPr="00DD57E3">
              <w:rPr>
                <w:rFonts w:cs="Times New Roman"/>
                <w:lang w:val="ro-MD"/>
              </w:rPr>
              <w:t>ț</w:t>
            </w:r>
            <w:r w:rsidRPr="00DD57E3">
              <w:rPr>
                <w:rFonts w:cs="Times New Roman"/>
                <w:lang w:val="ro-MD"/>
              </w:rPr>
              <w:t xml:space="preserve">ii considerate relevante. </w:t>
            </w:r>
            <w:r w:rsidR="00E03AAD" w:rsidRPr="00DD57E3">
              <w:rPr>
                <w:rFonts w:cs="Times New Roman"/>
                <w:lang w:val="ro-MD"/>
              </w:rPr>
              <w:t xml:space="preserve">Rapoartele respective </w:t>
            </w:r>
            <w:r w:rsidR="001A6774" w:rsidRPr="00DD57E3">
              <w:rPr>
                <w:rFonts w:cs="Times New Roman"/>
                <w:lang w:val="ro-MD"/>
              </w:rPr>
              <w:t>includ, de asemenea, numărul și categori</w:t>
            </w:r>
            <w:r w:rsidR="005A0F4F" w:rsidRPr="00DD57E3">
              <w:rPr>
                <w:rFonts w:cs="Times New Roman"/>
                <w:lang w:val="ro-MD"/>
              </w:rPr>
              <w:t>i</w:t>
            </w:r>
            <w:r w:rsidR="00F70270" w:rsidRPr="00DD57E3">
              <w:rPr>
                <w:rFonts w:cs="Times New Roman"/>
                <w:lang w:val="ro-MD"/>
              </w:rPr>
              <w:t xml:space="preserve">le de vehicule care fac obiectul contractelor. </w:t>
            </w:r>
            <w:r w:rsidRPr="00DD57E3">
              <w:rPr>
                <w:rFonts w:cs="Times New Roman"/>
                <w:lang w:val="ro-MD"/>
              </w:rPr>
              <w:t>Astfel, prin prezentul proiect de act normativ se stabile</w:t>
            </w:r>
            <w:r w:rsidR="00D84F0C" w:rsidRPr="00DD57E3">
              <w:rPr>
                <w:rFonts w:cs="Times New Roman"/>
                <w:lang w:val="ro-MD"/>
              </w:rPr>
              <w:t>ș</w:t>
            </w:r>
            <w:r w:rsidRPr="00DD57E3">
              <w:rPr>
                <w:rFonts w:cs="Times New Roman"/>
                <w:lang w:val="ro-MD"/>
              </w:rPr>
              <w:t xml:space="preserve">te faptul că </w:t>
            </w:r>
            <w:r w:rsidR="00F70270" w:rsidRPr="00DD57E3">
              <w:rPr>
                <w:rFonts w:cs="Times New Roman"/>
                <w:lang w:val="ro-MD"/>
              </w:rPr>
              <w:t>Ministerul Finanțelor</w:t>
            </w:r>
            <w:r w:rsidRPr="00DD57E3">
              <w:rPr>
                <w:rFonts w:cs="Times New Roman"/>
                <w:lang w:val="ro-MD"/>
              </w:rPr>
              <w:t xml:space="preserve">, </w:t>
            </w:r>
            <w:r w:rsidR="00E44547" w:rsidRPr="00DD57E3">
              <w:rPr>
                <w:rFonts w:cs="Times New Roman"/>
                <w:lang w:val="ro-MD"/>
              </w:rPr>
              <w:t>în calitate de autoritate specializată a administrației publice centrale, cu responsabilități principale în domeniul achizițiilor publice</w:t>
            </w:r>
            <w:r w:rsidR="00FB513E" w:rsidRPr="00DD57E3">
              <w:rPr>
                <w:rFonts w:cs="Times New Roman"/>
                <w:lang w:val="ro-MD"/>
              </w:rPr>
              <w:t>,</w:t>
            </w:r>
            <w:r w:rsidR="00707A6D" w:rsidRPr="00DD57E3">
              <w:rPr>
                <w:rFonts w:cs="Times New Roman"/>
                <w:lang w:val="ro-MD"/>
              </w:rPr>
              <w:t xml:space="preserve"> </w:t>
            </w:r>
            <w:r w:rsidRPr="00DD57E3">
              <w:rPr>
                <w:rFonts w:cs="Times New Roman"/>
                <w:lang w:val="ro-MD"/>
              </w:rPr>
              <w:t>cu sprijinul celorlalte autorită</w:t>
            </w:r>
            <w:r w:rsidR="00D84F0C" w:rsidRPr="00DD57E3">
              <w:rPr>
                <w:rFonts w:cs="Times New Roman"/>
                <w:lang w:val="ro-MD"/>
              </w:rPr>
              <w:t>ț</w:t>
            </w:r>
            <w:r w:rsidRPr="00DD57E3">
              <w:rPr>
                <w:rFonts w:cs="Times New Roman"/>
                <w:lang w:val="ro-MD"/>
              </w:rPr>
              <w:t>i/institu</w:t>
            </w:r>
            <w:r w:rsidR="00D84F0C" w:rsidRPr="00DD57E3">
              <w:rPr>
                <w:rFonts w:cs="Times New Roman"/>
                <w:lang w:val="ro-MD"/>
              </w:rPr>
              <w:t>ț</w:t>
            </w:r>
            <w:r w:rsidRPr="00DD57E3">
              <w:rPr>
                <w:rFonts w:cs="Times New Roman"/>
                <w:lang w:val="ro-MD"/>
              </w:rPr>
              <w:t>ii cu atribu</w:t>
            </w:r>
            <w:r w:rsidR="00D84F0C" w:rsidRPr="00DD57E3">
              <w:rPr>
                <w:rFonts w:cs="Times New Roman"/>
                <w:lang w:val="ro-MD"/>
              </w:rPr>
              <w:t>ț</w:t>
            </w:r>
            <w:r w:rsidRPr="00DD57E3">
              <w:rPr>
                <w:rFonts w:cs="Times New Roman"/>
                <w:lang w:val="ro-MD"/>
              </w:rPr>
              <w:t>ii în aplicarea prezentei legi, va fi responsabilă de raportare. Rapoartele transmise Comisiei Europene vor con</w:t>
            </w:r>
            <w:r w:rsidR="00D84F0C" w:rsidRPr="00DD57E3">
              <w:rPr>
                <w:rFonts w:cs="Times New Roman"/>
                <w:lang w:val="ro-MD"/>
              </w:rPr>
              <w:t>ț</w:t>
            </w:r>
            <w:r w:rsidRPr="00DD57E3">
              <w:rPr>
                <w:rFonts w:cs="Times New Roman"/>
                <w:lang w:val="ro-MD"/>
              </w:rPr>
              <w:t>ine informa</w:t>
            </w:r>
            <w:r w:rsidR="00D84F0C" w:rsidRPr="00DD57E3">
              <w:rPr>
                <w:rFonts w:cs="Times New Roman"/>
                <w:lang w:val="ro-MD"/>
              </w:rPr>
              <w:t>ț</w:t>
            </w:r>
            <w:r w:rsidRPr="00DD57E3">
              <w:rPr>
                <w:rFonts w:cs="Times New Roman"/>
                <w:lang w:val="ro-MD"/>
              </w:rPr>
              <w:t>ii prezentate pe baza categoriilor prevăzute în Vocabularul Comun privind Achizi</w:t>
            </w:r>
            <w:r w:rsidR="00D84F0C" w:rsidRPr="00DD57E3">
              <w:rPr>
                <w:rFonts w:cs="Times New Roman"/>
                <w:lang w:val="ro-MD"/>
              </w:rPr>
              <w:t>ț</w:t>
            </w:r>
            <w:r w:rsidRPr="00DD57E3">
              <w:rPr>
                <w:rFonts w:cs="Times New Roman"/>
                <w:lang w:val="ro-MD"/>
              </w:rPr>
              <w:t>iile Publice (CPV)</w:t>
            </w:r>
            <w:r w:rsidR="00BB33B9" w:rsidRPr="00DD57E3">
              <w:rPr>
                <w:rFonts w:cs="Times New Roman"/>
                <w:lang w:val="ro-MD"/>
              </w:rPr>
              <w:t>.</w:t>
            </w:r>
            <w:r w:rsidRPr="00DD57E3">
              <w:rPr>
                <w:rFonts w:cs="Times New Roman"/>
                <w:lang w:val="ro-MD"/>
              </w:rPr>
              <w:t xml:space="preserve">  </w:t>
            </w:r>
          </w:p>
          <w:p w14:paraId="58D8510D" w14:textId="77777777" w:rsidR="00DA32F8" w:rsidRPr="00DD57E3" w:rsidRDefault="00DA32F8" w:rsidP="00DA32F8">
            <w:pPr>
              <w:pStyle w:val="a4"/>
              <w:rPr>
                <w:rFonts w:cs="Times New Roman"/>
                <w:iCs/>
                <w:szCs w:val="24"/>
                <w:lang w:val="ro-MD"/>
              </w:rPr>
            </w:pPr>
          </w:p>
          <w:p w14:paraId="3A24BEE2" w14:textId="77777777" w:rsidR="0003488E" w:rsidRPr="00DD57E3" w:rsidRDefault="0003488E" w:rsidP="0003488E">
            <w:pPr>
              <w:numPr>
                <w:ilvl w:val="0"/>
                <w:numId w:val="6"/>
              </w:numPr>
              <w:tabs>
                <w:tab w:val="left" w:pos="200"/>
                <w:tab w:val="left" w:pos="455"/>
                <w:tab w:val="left" w:pos="599"/>
                <w:tab w:val="left" w:pos="922"/>
              </w:tabs>
              <w:spacing w:before="240" w:after="0" w:line="240" w:lineRule="auto"/>
              <w:ind w:right="45" w:hanging="720"/>
              <w:jc w:val="both"/>
              <w:rPr>
                <w:rFonts w:ascii="Times New Roman" w:hAnsi="Times New Roman" w:cs="Times New Roman"/>
                <w:b/>
                <w:bCs/>
                <w:i/>
                <w:iCs/>
                <w:sz w:val="24"/>
                <w:szCs w:val="24"/>
                <w:lang w:val="ro-MD"/>
              </w:rPr>
            </w:pPr>
            <w:r w:rsidRPr="00DD57E3">
              <w:rPr>
                <w:rFonts w:ascii="Times New Roman" w:hAnsi="Times New Roman" w:cs="Times New Roman"/>
                <w:b/>
                <w:bCs/>
                <w:i/>
                <w:iCs/>
                <w:sz w:val="24"/>
                <w:szCs w:val="24"/>
                <w:lang w:val="ro-MD"/>
              </w:rPr>
              <w:t>Metodologia de calcul a țintelor pentru achizițiile de vehicule nepoluante</w:t>
            </w:r>
          </w:p>
          <w:p w14:paraId="2EBBB3D4"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Pentru determinarea țintelor aplicabile Republicii Moldova privind achizițiile de vehicule nepoluante, a fost utilizată metodologia adoptată la nivelul Uniunii Europene, descrisă în documentul SWD(2017) 366 final</w:t>
            </w:r>
            <w:r w:rsidRPr="00DD57E3">
              <w:rPr>
                <w:rStyle w:val="ac"/>
                <w:rFonts w:ascii="Times New Roman" w:eastAsiaTheme="minorEastAsia" w:hAnsi="Times New Roman" w:cs="Times New Roman"/>
                <w:bCs/>
                <w:iCs/>
                <w:sz w:val="24"/>
                <w:szCs w:val="24"/>
                <w:lang w:val="ro-MD" w:eastAsia="ar-SA"/>
              </w:rPr>
              <w:footnoteReference w:id="14"/>
            </w:r>
            <w:r w:rsidRPr="00DD57E3">
              <w:rPr>
                <w:rFonts w:ascii="Times New Roman" w:eastAsiaTheme="minorEastAsia" w:hAnsi="Times New Roman" w:cs="Times New Roman"/>
                <w:bCs/>
                <w:iCs/>
                <w:sz w:val="24"/>
                <w:szCs w:val="24"/>
                <w:lang w:val="ro-MD" w:eastAsia="ar-SA"/>
              </w:rPr>
              <w:t>, care a stat la baza modificărilor Directivei 2009/33/CE.</w:t>
            </w:r>
          </w:p>
          <w:p w14:paraId="71EE89AE"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Metodologia de calcul a țintelor UE a avut drept scop ajustarea obiectivelor pentru fiecare stat membru în funcție de:</w:t>
            </w:r>
          </w:p>
          <w:p w14:paraId="6724C4DB" w14:textId="77777777" w:rsidR="0003488E" w:rsidRPr="00DD57E3" w:rsidRDefault="0003488E" w:rsidP="0003488E">
            <w:pPr>
              <w:pStyle w:val="a4"/>
              <w:numPr>
                <w:ilvl w:val="0"/>
                <w:numId w:val="20"/>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Capacitatea economică, exprimată prin PIB per capita;</w:t>
            </w:r>
          </w:p>
          <w:p w14:paraId="08A0EE16" w14:textId="77777777" w:rsidR="0003488E" w:rsidRPr="00DD57E3" w:rsidRDefault="0003488E" w:rsidP="0003488E">
            <w:pPr>
              <w:pStyle w:val="a4"/>
              <w:numPr>
                <w:ilvl w:val="0"/>
                <w:numId w:val="20"/>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Presiunea problemelor urbane, măsurată prin ponderea populației care trăiește în zone urbane și intermediare.</w:t>
            </w:r>
          </w:p>
          <w:p w14:paraId="20DA8462"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Această abordare a fost testată împotriva altor metode alternative (bazate doar pe PIB, doar pe populația urbană sau doar pe PIB-ul generat de zonele urbane), dar a fost considerată cea mai echilibrată, deoarece:</w:t>
            </w:r>
          </w:p>
          <w:p w14:paraId="7A155487" w14:textId="77777777" w:rsidR="0003488E" w:rsidRPr="00DD57E3" w:rsidRDefault="0003488E" w:rsidP="0003488E">
            <w:pPr>
              <w:pStyle w:val="a4"/>
              <w:numPr>
                <w:ilvl w:val="0"/>
                <w:numId w:val="21"/>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Reflectă atât posibilitatea economică a fiecărui stat de a face tranziția către mobilitatea cu emisii reduse,</w:t>
            </w:r>
          </w:p>
          <w:p w14:paraId="1F58B056" w14:textId="77777777" w:rsidR="0003488E" w:rsidRPr="00DD57E3" w:rsidRDefault="0003488E" w:rsidP="0003488E">
            <w:pPr>
              <w:pStyle w:val="a4"/>
              <w:numPr>
                <w:ilvl w:val="0"/>
                <w:numId w:val="21"/>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Cât și necesitatea accelerării acestei tranziții în zonele urbane, unde expunerea la poluare este mai ridicată.</w:t>
            </w:r>
          </w:p>
          <w:p w14:paraId="28719F4C"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Astfel, în metodologia UE, țintele naționale pentru achizițiile de vehicule nepoluante au fost ajustate utilizând un factor de scalare, care compară valorile naționale pentru PIB per capita și cota populației urbane cu media Uniunii Europene. Statele cu valori sub media UE au primit ținte mai reduse, iar cele cu valori peste medie au fost limitate la valoarea medie UE (1.0).</w:t>
            </w:r>
          </w:p>
          <w:p w14:paraId="5743EFBD" w14:textId="77777777" w:rsidR="007F5345" w:rsidRPr="00DD57E3" w:rsidRDefault="0003488E" w:rsidP="00C108FB">
            <w:pPr>
              <w:spacing w:after="160" w:line="259" w:lineRule="auto"/>
              <w:jc w:val="right"/>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lastRenderedPageBreak/>
              <w:br w:type="page"/>
            </w:r>
          </w:p>
          <w:p w14:paraId="4CECD77B" w14:textId="404FFA59" w:rsidR="0003488E" w:rsidRPr="00DD57E3" w:rsidRDefault="0003488E" w:rsidP="00C108FB">
            <w:pPr>
              <w:spacing w:after="160" w:line="259" w:lineRule="auto"/>
              <w:jc w:val="right"/>
              <w:rPr>
                <w:rFonts w:ascii="Times New Roman" w:eastAsiaTheme="minorEastAsia" w:hAnsi="Times New Roman" w:cs="Times New Roman"/>
                <w:bCs/>
                <w:i/>
                <w:sz w:val="24"/>
                <w:szCs w:val="24"/>
                <w:lang w:val="ro-MD" w:eastAsia="ar-SA"/>
              </w:rPr>
            </w:pPr>
            <w:r w:rsidRPr="00DD57E3">
              <w:rPr>
                <w:rFonts w:ascii="Times New Roman" w:eastAsiaTheme="minorEastAsia" w:hAnsi="Times New Roman" w:cs="Times New Roman"/>
                <w:bCs/>
                <w:i/>
                <w:sz w:val="24"/>
                <w:szCs w:val="24"/>
                <w:lang w:val="ro-MD" w:eastAsia="ar-SA"/>
              </w:rPr>
              <w:t>Tabe</w:t>
            </w:r>
            <w:r w:rsidR="008D4682" w:rsidRPr="00DD57E3">
              <w:rPr>
                <w:rFonts w:ascii="Times New Roman" w:eastAsiaTheme="minorEastAsia" w:hAnsi="Times New Roman" w:cs="Times New Roman"/>
                <w:bCs/>
                <w:i/>
                <w:sz w:val="24"/>
                <w:szCs w:val="24"/>
                <w:lang w:val="ro-MD" w:eastAsia="ar-SA"/>
              </w:rPr>
              <w:t>l 2</w:t>
            </w:r>
            <w:r w:rsidRPr="00DD57E3">
              <w:rPr>
                <w:rFonts w:ascii="Times New Roman" w:eastAsiaTheme="minorEastAsia" w:hAnsi="Times New Roman" w:cs="Times New Roman"/>
                <w:bCs/>
                <w:i/>
                <w:sz w:val="24"/>
                <w:szCs w:val="24"/>
                <w:lang w:val="ro-MD" w:eastAsia="ar-SA"/>
              </w:rPr>
              <w:t>. Calcularea factorilor de scalare pentru RM</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73"/>
              <w:gridCol w:w="1083"/>
              <w:gridCol w:w="1116"/>
              <w:gridCol w:w="1116"/>
              <w:gridCol w:w="1096"/>
              <w:gridCol w:w="1087"/>
              <w:gridCol w:w="1099"/>
              <w:gridCol w:w="1090"/>
            </w:tblGrid>
            <w:tr w:rsidR="008D4682" w:rsidRPr="00DD57E3" w14:paraId="2C8CE2E1" w14:textId="77777777" w:rsidTr="008D4682">
              <w:trPr>
                <w:cantSplit/>
                <w:trHeight w:val="20"/>
                <w:jc w:val="center"/>
              </w:trPr>
              <w:tc>
                <w:tcPr>
                  <w:tcW w:w="973" w:type="dxa"/>
                  <w:vMerge w:val="restart"/>
                  <w:shd w:val="clear" w:color="auto" w:fill="DEEAF6" w:themeFill="accent5" w:themeFillTint="33"/>
                  <w:vAlign w:val="center"/>
                  <w:hideMark/>
                </w:tcPr>
                <w:p w14:paraId="35135FB4" w14:textId="62088537" w:rsidR="008D4682" w:rsidRPr="00DD57E3" w:rsidRDefault="008D4682" w:rsidP="0003488E">
                  <w:pPr>
                    <w:keepLines/>
                    <w:widowControl w:val="0"/>
                    <w:spacing w:after="0" w:line="240" w:lineRule="auto"/>
                    <w:rPr>
                      <w:rFonts w:ascii="Times New Roman" w:eastAsia="Times New Roman" w:hAnsi="Times New Roman" w:cs="Times New Roman"/>
                      <w:sz w:val="20"/>
                      <w:szCs w:val="20"/>
                      <w:lang w:val="ro-MD"/>
                    </w:rPr>
                  </w:pPr>
                  <w:r w:rsidRPr="00DD57E3">
                    <w:rPr>
                      <w:rFonts w:ascii="Times New Roman" w:eastAsia="Times New Roman" w:hAnsi="Times New Roman" w:cs="Times New Roman"/>
                      <w:b/>
                      <w:color w:val="000000"/>
                      <w:sz w:val="20"/>
                      <w:szCs w:val="20"/>
                      <w:lang w:val="ro-MD"/>
                    </w:rPr>
                    <w:t>Țară</w:t>
                  </w:r>
                </w:p>
              </w:tc>
              <w:tc>
                <w:tcPr>
                  <w:tcW w:w="4411" w:type="dxa"/>
                  <w:gridSpan w:val="4"/>
                  <w:shd w:val="clear" w:color="auto" w:fill="DEEAF6" w:themeFill="accent5" w:themeFillTint="33"/>
                  <w:vAlign w:val="center"/>
                  <w:hideMark/>
                </w:tcPr>
                <w:p w14:paraId="434B43F3" w14:textId="77777777" w:rsidR="008D4682" w:rsidRPr="00DD57E3" w:rsidRDefault="008D4682" w:rsidP="0003488E">
                  <w:pPr>
                    <w:keepLines/>
                    <w:widowControl w:val="0"/>
                    <w:spacing w:after="0" w:line="240" w:lineRule="auto"/>
                    <w:jc w:val="center"/>
                    <w:rPr>
                      <w:rFonts w:ascii="Times New Roman" w:eastAsia="Times New Roman" w:hAnsi="Times New Roman" w:cs="Times New Roman"/>
                      <w:i/>
                      <w:color w:val="000000"/>
                      <w:sz w:val="20"/>
                      <w:szCs w:val="20"/>
                      <w:lang w:val="ro-MD"/>
                    </w:rPr>
                  </w:pPr>
                  <w:r w:rsidRPr="00DD57E3">
                    <w:rPr>
                      <w:rFonts w:ascii="Times New Roman" w:eastAsia="Times New Roman" w:hAnsi="Times New Roman" w:cs="Times New Roman"/>
                      <w:i/>
                      <w:color w:val="000000"/>
                      <w:sz w:val="20"/>
                      <w:szCs w:val="20"/>
                      <w:lang w:val="ro-MD"/>
                    </w:rPr>
                    <w:t>Baza de calcul - World Bank, datele din 2019</w:t>
                  </w:r>
                </w:p>
              </w:tc>
              <w:tc>
                <w:tcPr>
                  <w:tcW w:w="3276" w:type="dxa"/>
                  <w:gridSpan w:val="3"/>
                  <w:shd w:val="clear" w:color="auto" w:fill="DEEAF6" w:themeFill="accent5" w:themeFillTint="33"/>
                  <w:vAlign w:val="center"/>
                  <w:hideMark/>
                </w:tcPr>
                <w:p w14:paraId="397A86A9" w14:textId="77777777" w:rsidR="008D4682" w:rsidRPr="00DD57E3" w:rsidRDefault="008D4682" w:rsidP="0003488E">
                  <w:pPr>
                    <w:keepLines/>
                    <w:widowControl w:val="0"/>
                    <w:spacing w:after="0" w:line="240" w:lineRule="auto"/>
                    <w:jc w:val="center"/>
                    <w:rPr>
                      <w:rFonts w:ascii="Times New Roman" w:eastAsia="Times New Roman" w:hAnsi="Times New Roman" w:cs="Times New Roman"/>
                      <w:i/>
                      <w:color w:val="000000"/>
                      <w:sz w:val="20"/>
                      <w:szCs w:val="20"/>
                      <w:lang w:val="ro-MD"/>
                    </w:rPr>
                  </w:pPr>
                  <w:r w:rsidRPr="00DD57E3">
                    <w:rPr>
                      <w:rFonts w:ascii="Times New Roman" w:eastAsia="Times New Roman" w:hAnsi="Times New Roman" w:cs="Times New Roman"/>
                      <w:i/>
                      <w:color w:val="000000"/>
                      <w:sz w:val="20"/>
                      <w:szCs w:val="20"/>
                      <w:lang w:val="ro-MD"/>
                    </w:rPr>
                    <w:t>Verificarea metodei de calcul</w:t>
                  </w:r>
                </w:p>
              </w:tc>
            </w:tr>
            <w:tr w:rsidR="008D4682" w:rsidRPr="00DD57E3" w14:paraId="269D9FAF" w14:textId="77777777" w:rsidTr="008D4682">
              <w:trPr>
                <w:cantSplit/>
                <w:trHeight w:val="20"/>
                <w:jc w:val="center"/>
              </w:trPr>
              <w:tc>
                <w:tcPr>
                  <w:tcW w:w="973" w:type="dxa"/>
                  <w:vMerge/>
                  <w:shd w:val="clear" w:color="000000" w:fill="DDEBF7"/>
                  <w:vAlign w:val="center"/>
                  <w:hideMark/>
                </w:tcPr>
                <w:p w14:paraId="33E89147" w14:textId="0E20C137" w:rsidR="008D4682" w:rsidRPr="00DD57E3" w:rsidRDefault="008D4682" w:rsidP="0003488E">
                  <w:pPr>
                    <w:keepLines/>
                    <w:widowControl w:val="0"/>
                    <w:spacing w:after="0" w:line="240" w:lineRule="auto"/>
                    <w:rPr>
                      <w:rFonts w:ascii="Times New Roman" w:eastAsia="Times New Roman" w:hAnsi="Times New Roman" w:cs="Times New Roman"/>
                      <w:b/>
                      <w:color w:val="000000"/>
                      <w:sz w:val="20"/>
                      <w:szCs w:val="20"/>
                      <w:lang w:val="ro-MD"/>
                    </w:rPr>
                  </w:pPr>
                </w:p>
              </w:tc>
              <w:tc>
                <w:tcPr>
                  <w:tcW w:w="1083" w:type="dxa"/>
                  <w:shd w:val="clear" w:color="000000" w:fill="DDEBF7"/>
                  <w:vAlign w:val="center"/>
                  <w:hideMark/>
                </w:tcPr>
                <w:p w14:paraId="7C1A2BD4" w14:textId="77777777" w:rsidR="008D4682" w:rsidRPr="00DD57E3" w:rsidRDefault="008D4682" w:rsidP="0003488E">
                  <w:pPr>
                    <w:keepLines/>
                    <w:widowControl w:val="0"/>
                    <w:spacing w:after="0" w:line="240" w:lineRule="auto"/>
                    <w:rPr>
                      <w:rFonts w:ascii="Times New Roman" w:eastAsia="Times New Roman" w:hAnsi="Times New Roman" w:cs="Times New Roman"/>
                      <w:color w:val="000000"/>
                      <w:sz w:val="20"/>
                      <w:szCs w:val="20"/>
                      <w:u w:val="single"/>
                      <w:lang w:val="ro-MD"/>
                    </w:rPr>
                  </w:pPr>
                  <w:r w:rsidRPr="00DD57E3">
                    <w:rPr>
                      <w:rFonts w:ascii="Times New Roman" w:eastAsia="Times New Roman" w:hAnsi="Times New Roman" w:cs="Times New Roman"/>
                      <w:color w:val="000000"/>
                      <w:sz w:val="20"/>
                      <w:szCs w:val="20"/>
                      <w:u w:val="single"/>
                      <w:lang w:val="ro-MD"/>
                    </w:rPr>
                    <w:t>PIB per capita (US$)</w:t>
                  </w:r>
                </w:p>
              </w:tc>
              <w:tc>
                <w:tcPr>
                  <w:tcW w:w="1116" w:type="dxa"/>
                  <w:shd w:val="clear" w:color="000000" w:fill="DDEBF7"/>
                  <w:vAlign w:val="center"/>
                  <w:hideMark/>
                </w:tcPr>
                <w:p w14:paraId="13105875" w14:textId="77777777" w:rsidR="008D4682" w:rsidRPr="00DD57E3" w:rsidRDefault="008D4682" w:rsidP="0003488E">
                  <w:pPr>
                    <w:keepLines/>
                    <w:widowControl w:val="0"/>
                    <w:spacing w:after="0" w:line="240" w:lineRule="auto"/>
                    <w:rPr>
                      <w:rFonts w:ascii="Times New Roman" w:eastAsia="Times New Roman" w:hAnsi="Times New Roman" w:cs="Times New Roman"/>
                      <w:i/>
                      <w:color w:val="000000"/>
                      <w:sz w:val="20"/>
                      <w:szCs w:val="20"/>
                      <w:lang w:val="ro-MD"/>
                    </w:rPr>
                  </w:pPr>
                  <w:r w:rsidRPr="00DD57E3">
                    <w:rPr>
                      <w:rFonts w:ascii="Times New Roman" w:eastAsia="Times New Roman" w:hAnsi="Times New Roman" w:cs="Times New Roman"/>
                      <w:i/>
                      <w:color w:val="000000"/>
                      <w:sz w:val="20"/>
                      <w:szCs w:val="20"/>
                      <w:lang w:val="ro-MD"/>
                    </w:rPr>
                    <w:t>Populația urbană</w:t>
                  </w:r>
                </w:p>
              </w:tc>
              <w:tc>
                <w:tcPr>
                  <w:tcW w:w="1116" w:type="dxa"/>
                  <w:shd w:val="clear" w:color="000000" w:fill="DDEBF7"/>
                  <w:vAlign w:val="center"/>
                  <w:hideMark/>
                </w:tcPr>
                <w:p w14:paraId="751E3E77" w14:textId="64776E2C" w:rsidR="008D4682" w:rsidRPr="00DD57E3" w:rsidRDefault="008D4682" w:rsidP="0003488E">
                  <w:pPr>
                    <w:keepLines/>
                    <w:widowControl w:val="0"/>
                    <w:spacing w:after="0" w:line="240" w:lineRule="auto"/>
                    <w:rPr>
                      <w:rFonts w:ascii="Times New Roman" w:eastAsia="Times New Roman" w:hAnsi="Times New Roman" w:cs="Times New Roman"/>
                      <w:i/>
                      <w:color w:val="000000"/>
                      <w:sz w:val="20"/>
                      <w:szCs w:val="20"/>
                      <w:lang w:val="ro-MD"/>
                    </w:rPr>
                  </w:pPr>
                  <w:r w:rsidRPr="00DD57E3">
                    <w:rPr>
                      <w:rFonts w:ascii="Times New Roman" w:eastAsia="Times New Roman" w:hAnsi="Times New Roman" w:cs="Times New Roman"/>
                      <w:i/>
                      <w:color w:val="000000"/>
                      <w:sz w:val="20"/>
                      <w:szCs w:val="20"/>
                      <w:lang w:val="ro-MD"/>
                    </w:rPr>
                    <w:t xml:space="preserve">Populația </w:t>
                  </w:r>
                  <w:r w:rsidR="00F66F28" w:rsidRPr="00DD57E3">
                    <w:rPr>
                      <w:rFonts w:ascii="Times New Roman" w:eastAsia="Times New Roman" w:hAnsi="Times New Roman" w:cs="Times New Roman"/>
                      <w:i/>
                      <w:iCs/>
                      <w:color w:val="000000"/>
                      <w:sz w:val="20"/>
                      <w:szCs w:val="20"/>
                      <w:lang w:val="ro-MD"/>
                    </w:rPr>
                    <w:t>totală</w:t>
                  </w:r>
                </w:p>
              </w:tc>
              <w:tc>
                <w:tcPr>
                  <w:tcW w:w="1096" w:type="dxa"/>
                  <w:shd w:val="clear" w:color="000000" w:fill="DDEBF7"/>
                  <w:vAlign w:val="center"/>
                  <w:hideMark/>
                </w:tcPr>
                <w:p w14:paraId="244F63C0" w14:textId="77777777" w:rsidR="008D4682" w:rsidRPr="00DD57E3" w:rsidRDefault="008D4682" w:rsidP="0003488E">
                  <w:pPr>
                    <w:keepLines/>
                    <w:widowControl w:val="0"/>
                    <w:spacing w:after="0" w:line="240" w:lineRule="auto"/>
                    <w:rPr>
                      <w:rFonts w:ascii="Times New Roman" w:eastAsia="Times New Roman" w:hAnsi="Times New Roman" w:cs="Times New Roman"/>
                      <w:color w:val="000000"/>
                      <w:sz w:val="20"/>
                      <w:szCs w:val="20"/>
                      <w:u w:val="single"/>
                      <w:lang w:val="ro-MD"/>
                    </w:rPr>
                  </w:pPr>
                  <w:r w:rsidRPr="00DD57E3">
                    <w:rPr>
                      <w:rFonts w:ascii="Times New Roman" w:eastAsia="Times New Roman" w:hAnsi="Times New Roman" w:cs="Times New Roman"/>
                      <w:color w:val="000000"/>
                      <w:sz w:val="20"/>
                      <w:szCs w:val="20"/>
                      <w:u w:val="single"/>
                      <w:lang w:val="ro-MD"/>
                    </w:rPr>
                    <w:t>Ponderea populației urbane</w:t>
                  </w:r>
                </w:p>
              </w:tc>
              <w:tc>
                <w:tcPr>
                  <w:tcW w:w="1087" w:type="dxa"/>
                  <w:shd w:val="clear" w:color="000000" w:fill="DDEBF7"/>
                  <w:vAlign w:val="center"/>
                  <w:hideMark/>
                </w:tcPr>
                <w:p w14:paraId="14B294CB" w14:textId="77777777" w:rsidR="008D4682" w:rsidRPr="00DD57E3" w:rsidRDefault="008D4682" w:rsidP="0003488E">
                  <w:pPr>
                    <w:keepLines/>
                    <w:widowControl w:val="0"/>
                    <w:spacing w:after="0" w:line="240" w:lineRule="auto"/>
                    <w:rPr>
                      <w:rFonts w:ascii="Times New Roman" w:eastAsia="Times New Roman" w:hAnsi="Times New Roman" w:cs="Times New Roman"/>
                      <w:b/>
                      <w:color w:val="000000"/>
                      <w:sz w:val="20"/>
                      <w:szCs w:val="20"/>
                      <w:lang w:val="ro-MD"/>
                    </w:rPr>
                  </w:pPr>
                  <w:r w:rsidRPr="00DD57E3">
                    <w:rPr>
                      <w:rFonts w:ascii="Times New Roman" w:eastAsia="Times New Roman" w:hAnsi="Times New Roman" w:cs="Times New Roman"/>
                      <w:b/>
                      <w:color w:val="000000"/>
                      <w:sz w:val="20"/>
                      <w:szCs w:val="20"/>
                      <w:lang w:val="ro-MD"/>
                    </w:rPr>
                    <w:t>Factor de scalare după PIB</w:t>
                  </w:r>
                </w:p>
              </w:tc>
              <w:tc>
                <w:tcPr>
                  <w:tcW w:w="1099" w:type="dxa"/>
                  <w:shd w:val="clear" w:color="000000" w:fill="DDEBF7"/>
                  <w:vAlign w:val="center"/>
                  <w:hideMark/>
                </w:tcPr>
                <w:p w14:paraId="2202F3A2" w14:textId="77777777" w:rsidR="008D4682" w:rsidRPr="00DD57E3" w:rsidRDefault="008D4682" w:rsidP="0003488E">
                  <w:pPr>
                    <w:keepLines/>
                    <w:widowControl w:val="0"/>
                    <w:spacing w:after="0" w:line="240" w:lineRule="auto"/>
                    <w:rPr>
                      <w:rFonts w:ascii="Times New Roman" w:eastAsia="Times New Roman" w:hAnsi="Times New Roman" w:cs="Times New Roman"/>
                      <w:b/>
                      <w:color w:val="000000"/>
                      <w:sz w:val="20"/>
                      <w:szCs w:val="20"/>
                      <w:lang w:val="ro-MD"/>
                    </w:rPr>
                  </w:pPr>
                  <w:r w:rsidRPr="00DD57E3">
                    <w:rPr>
                      <w:rFonts w:ascii="Times New Roman" w:eastAsia="Times New Roman" w:hAnsi="Times New Roman" w:cs="Times New Roman"/>
                      <w:b/>
                      <w:color w:val="000000"/>
                      <w:sz w:val="20"/>
                      <w:szCs w:val="20"/>
                      <w:lang w:val="ro-MD"/>
                    </w:rPr>
                    <w:t>Factor de scalare după ponderea populației urbane</w:t>
                  </w:r>
                </w:p>
              </w:tc>
              <w:tc>
                <w:tcPr>
                  <w:tcW w:w="1090" w:type="dxa"/>
                  <w:shd w:val="clear" w:color="000000" w:fill="DDEBF7"/>
                  <w:vAlign w:val="center"/>
                  <w:hideMark/>
                </w:tcPr>
                <w:p w14:paraId="6649570E" w14:textId="77777777" w:rsidR="008D4682" w:rsidRPr="00DD57E3" w:rsidRDefault="008D4682" w:rsidP="0003488E">
                  <w:pPr>
                    <w:keepLines/>
                    <w:widowControl w:val="0"/>
                    <w:spacing w:after="0" w:line="240" w:lineRule="auto"/>
                    <w:rPr>
                      <w:rFonts w:ascii="Times New Roman" w:eastAsia="Times New Roman" w:hAnsi="Times New Roman" w:cs="Times New Roman"/>
                      <w:b/>
                      <w:color w:val="000000"/>
                      <w:sz w:val="20"/>
                      <w:szCs w:val="20"/>
                      <w:lang w:val="ro-MD"/>
                    </w:rPr>
                  </w:pPr>
                  <w:r w:rsidRPr="00DD57E3">
                    <w:rPr>
                      <w:rFonts w:ascii="Times New Roman" w:eastAsia="Times New Roman" w:hAnsi="Times New Roman" w:cs="Times New Roman"/>
                      <w:b/>
                      <w:color w:val="000000"/>
                      <w:sz w:val="20"/>
                      <w:szCs w:val="20"/>
                      <w:lang w:val="ro-MD"/>
                    </w:rPr>
                    <w:t>Factor de scalare calculat</w:t>
                  </w:r>
                </w:p>
              </w:tc>
            </w:tr>
            <w:tr w:rsidR="0003488E" w:rsidRPr="00DD57E3" w14:paraId="744C59B8" w14:textId="77777777" w:rsidTr="008D4682">
              <w:trPr>
                <w:cantSplit/>
                <w:trHeight w:val="20"/>
                <w:jc w:val="center"/>
              </w:trPr>
              <w:tc>
                <w:tcPr>
                  <w:tcW w:w="973" w:type="dxa"/>
                  <w:shd w:val="clear" w:color="auto" w:fill="auto"/>
                  <w:vAlign w:val="center"/>
                  <w:hideMark/>
                </w:tcPr>
                <w:p w14:paraId="0803D01F" w14:textId="77777777" w:rsidR="0003488E" w:rsidRPr="00DD57E3" w:rsidRDefault="0003488E" w:rsidP="0003488E">
                  <w:pPr>
                    <w:keepLines/>
                    <w:widowControl w:val="0"/>
                    <w:spacing w:after="0" w:line="240" w:lineRule="auto"/>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Suedia</w:t>
                  </w:r>
                </w:p>
              </w:tc>
              <w:tc>
                <w:tcPr>
                  <w:tcW w:w="1083" w:type="dxa"/>
                  <w:shd w:val="clear" w:color="auto" w:fill="auto"/>
                  <w:vAlign w:val="center"/>
                  <w:hideMark/>
                </w:tcPr>
                <w:p w14:paraId="1553FD0C"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51773</w:t>
                  </w:r>
                </w:p>
              </w:tc>
              <w:tc>
                <w:tcPr>
                  <w:tcW w:w="1116" w:type="dxa"/>
                  <w:shd w:val="clear" w:color="auto" w:fill="auto"/>
                  <w:vAlign w:val="center"/>
                  <w:hideMark/>
                </w:tcPr>
                <w:p w14:paraId="521F6949"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9015406</w:t>
                  </w:r>
                </w:p>
              </w:tc>
              <w:tc>
                <w:tcPr>
                  <w:tcW w:w="1116" w:type="dxa"/>
                  <w:shd w:val="clear" w:color="auto" w:fill="auto"/>
                  <w:vAlign w:val="center"/>
                  <w:hideMark/>
                </w:tcPr>
                <w:p w14:paraId="1A16EAA4"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10278887</w:t>
                  </w:r>
                </w:p>
              </w:tc>
              <w:tc>
                <w:tcPr>
                  <w:tcW w:w="1096" w:type="dxa"/>
                  <w:shd w:val="clear" w:color="auto" w:fill="auto"/>
                  <w:vAlign w:val="center"/>
                  <w:hideMark/>
                </w:tcPr>
                <w:p w14:paraId="7C34563D"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0.88</w:t>
                  </w:r>
                </w:p>
              </w:tc>
              <w:tc>
                <w:tcPr>
                  <w:tcW w:w="1087" w:type="dxa"/>
                  <w:shd w:val="clear" w:color="auto" w:fill="auto"/>
                  <w:vAlign w:val="center"/>
                  <w:hideMark/>
                </w:tcPr>
                <w:p w14:paraId="7EDD58FE"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1.00</w:t>
                  </w:r>
                </w:p>
              </w:tc>
              <w:tc>
                <w:tcPr>
                  <w:tcW w:w="1099" w:type="dxa"/>
                  <w:shd w:val="clear" w:color="auto" w:fill="auto"/>
                  <w:vAlign w:val="center"/>
                  <w:hideMark/>
                </w:tcPr>
                <w:p w14:paraId="0CAC0BC7"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1.00</w:t>
                  </w:r>
                </w:p>
              </w:tc>
              <w:tc>
                <w:tcPr>
                  <w:tcW w:w="1090" w:type="dxa"/>
                  <w:shd w:val="clear" w:color="auto" w:fill="auto"/>
                  <w:vAlign w:val="center"/>
                  <w:hideMark/>
                </w:tcPr>
                <w:p w14:paraId="3F4C7C61"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1.00</w:t>
                  </w:r>
                </w:p>
              </w:tc>
            </w:tr>
            <w:tr w:rsidR="0003488E" w:rsidRPr="00DD57E3" w14:paraId="419D7AF3" w14:textId="77777777" w:rsidTr="008D4682">
              <w:trPr>
                <w:cantSplit/>
                <w:trHeight w:val="20"/>
                <w:jc w:val="center"/>
              </w:trPr>
              <w:tc>
                <w:tcPr>
                  <w:tcW w:w="973" w:type="dxa"/>
                  <w:shd w:val="clear" w:color="auto" w:fill="auto"/>
                  <w:vAlign w:val="center"/>
                  <w:hideMark/>
                </w:tcPr>
                <w:p w14:paraId="301AE8CC" w14:textId="77777777" w:rsidR="0003488E" w:rsidRPr="00DD57E3" w:rsidRDefault="0003488E" w:rsidP="0003488E">
                  <w:pPr>
                    <w:keepLines/>
                    <w:widowControl w:val="0"/>
                    <w:spacing w:after="0" w:line="240" w:lineRule="auto"/>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Romania</w:t>
                  </w:r>
                </w:p>
              </w:tc>
              <w:tc>
                <w:tcPr>
                  <w:tcW w:w="1083" w:type="dxa"/>
                  <w:shd w:val="clear" w:color="auto" w:fill="auto"/>
                  <w:vAlign w:val="center"/>
                  <w:hideMark/>
                </w:tcPr>
                <w:p w14:paraId="1361A4D1"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12992</w:t>
                  </w:r>
                </w:p>
              </w:tc>
              <w:tc>
                <w:tcPr>
                  <w:tcW w:w="1116" w:type="dxa"/>
                  <w:shd w:val="clear" w:color="auto" w:fill="auto"/>
                  <w:vAlign w:val="center"/>
                  <w:hideMark/>
                </w:tcPr>
                <w:p w14:paraId="23FC9D13"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10476962</w:t>
                  </w:r>
                </w:p>
              </w:tc>
              <w:tc>
                <w:tcPr>
                  <w:tcW w:w="1116" w:type="dxa"/>
                  <w:shd w:val="clear" w:color="auto" w:fill="auto"/>
                  <w:vAlign w:val="center"/>
                  <w:hideMark/>
                </w:tcPr>
                <w:p w14:paraId="2D22AFC1"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19371648</w:t>
                  </w:r>
                </w:p>
              </w:tc>
              <w:tc>
                <w:tcPr>
                  <w:tcW w:w="1096" w:type="dxa"/>
                  <w:shd w:val="clear" w:color="auto" w:fill="auto"/>
                  <w:vAlign w:val="center"/>
                  <w:hideMark/>
                </w:tcPr>
                <w:p w14:paraId="26BD4E64"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0.54</w:t>
                  </w:r>
                </w:p>
              </w:tc>
              <w:tc>
                <w:tcPr>
                  <w:tcW w:w="1087" w:type="dxa"/>
                  <w:shd w:val="clear" w:color="auto" w:fill="auto"/>
                  <w:vAlign w:val="center"/>
                  <w:hideMark/>
                </w:tcPr>
                <w:p w14:paraId="47750C8C"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0.37</w:t>
                  </w:r>
                </w:p>
              </w:tc>
              <w:tc>
                <w:tcPr>
                  <w:tcW w:w="1099" w:type="dxa"/>
                  <w:shd w:val="clear" w:color="auto" w:fill="auto"/>
                  <w:vAlign w:val="center"/>
                  <w:hideMark/>
                </w:tcPr>
                <w:p w14:paraId="706F35DE"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0.72</w:t>
                  </w:r>
                </w:p>
              </w:tc>
              <w:tc>
                <w:tcPr>
                  <w:tcW w:w="1090" w:type="dxa"/>
                  <w:shd w:val="clear" w:color="auto" w:fill="auto"/>
                  <w:vAlign w:val="center"/>
                  <w:hideMark/>
                </w:tcPr>
                <w:p w14:paraId="75726BC6"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0.55</w:t>
                  </w:r>
                </w:p>
              </w:tc>
            </w:tr>
            <w:tr w:rsidR="0003488E" w:rsidRPr="00DD57E3" w14:paraId="5C12A72B" w14:textId="77777777" w:rsidTr="008D4682">
              <w:trPr>
                <w:cantSplit/>
                <w:trHeight w:val="20"/>
                <w:jc w:val="center"/>
              </w:trPr>
              <w:tc>
                <w:tcPr>
                  <w:tcW w:w="973" w:type="dxa"/>
                  <w:shd w:val="clear" w:color="auto" w:fill="auto"/>
                  <w:vAlign w:val="center"/>
                  <w:hideMark/>
                </w:tcPr>
                <w:p w14:paraId="51828508" w14:textId="77777777" w:rsidR="0003488E" w:rsidRPr="00DD57E3" w:rsidRDefault="0003488E" w:rsidP="0003488E">
                  <w:pPr>
                    <w:keepLines/>
                    <w:widowControl w:val="0"/>
                    <w:spacing w:after="0" w:line="240" w:lineRule="auto"/>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Cehia</w:t>
                  </w:r>
                </w:p>
              </w:tc>
              <w:tc>
                <w:tcPr>
                  <w:tcW w:w="1083" w:type="dxa"/>
                  <w:shd w:val="clear" w:color="auto" w:fill="auto"/>
                  <w:vAlign w:val="center"/>
                  <w:hideMark/>
                </w:tcPr>
                <w:p w14:paraId="17366C0F"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24062</w:t>
                  </w:r>
                </w:p>
              </w:tc>
              <w:tc>
                <w:tcPr>
                  <w:tcW w:w="1116" w:type="dxa"/>
                  <w:shd w:val="clear" w:color="auto" w:fill="auto"/>
                  <w:vAlign w:val="center"/>
                  <w:hideMark/>
                </w:tcPr>
                <w:p w14:paraId="1DDC415C"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7888753</w:t>
                  </w:r>
                </w:p>
              </w:tc>
              <w:tc>
                <w:tcPr>
                  <w:tcW w:w="1116" w:type="dxa"/>
                  <w:shd w:val="clear" w:color="auto" w:fill="auto"/>
                  <w:vAlign w:val="center"/>
                  <w:hideMark/>
                </w:tcPr>
                <w:p w14:paraId="25C42BF5"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10671870</w:t>
                  </w:r>
                </w:p>
              </w:tc>
              <w:tc>
                <w:tcPr>
                  <w:tcW w:w="1096" w:type="dxa"/>
                  <w:shd w:val="clear" w:color="auto" w:fill="auto"/>
                  <w:vAlign w:val="center"/>
                  <w:hideMark/>
                </w:tcPr>
                <w:p w14:paraId="71D71F0E"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0.74</w:t>
                  </w:r>
                </w:p>
              </w:tc>
              <w:tc>
                <w:tcPr>
                  <w:tcW w:w="1087" w:type="dxa"/>
                  <w:shd w:val="clear" w:color="auto" w:fill="auto"/>
                  <w:vAlign w:val="center"/>
                  <w:hideMark/>
                </w:tcPr>
                <w:p w14:paraId="64CF601C"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0.68</w:t>
                  </w:r>
                </w:p>
              </w:tc>
              <w:tc>
                <w:tcPr>
                  <w:tcW w:w="1099" w:type="dxa"/>
                  <w:shd w:val="clear" w:color="auto" w:fill="auto"/>
                  <w:vAlign w:val="center"/>
                  <w:hideMark/>
                </w:tcPr>
                <w:p w14:paraId="02A6EE1D"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0.99</w:t>
                  </w:r>
                </w:p>
              </w:tc>
              <w:tc>
                <w:tcPr>
                  <w:tcW w:w="1090" w:type="dxa"/>
                  <w:shd w:val="clear" w:color="auto" w:fill="auto"/>
                  <w:vAlign w:val="center"/>
                  <w:hideMark/>
                </w:tcPr>
                <w:p w14:paraId="59097D24"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0.84</w:t>
                  </w:r>
                </w:p>
              </w:tc>
            </w:tr>
            <w:tr w:rsidR="0003488E" w:rsidRPr="00DD57E3" w14:paraId="4A7EB495" w14:textId="77777777" w:rsidTr="008D4682">
              <w:trPr>
                <w:cantSplit/>
                <w:trHeight w:val="20"/>
                <w:jc w:val="center"/>
              </w:trPr>
              <w:tc>
                <w:tcPr>
                  <w:tcW w:w="973" w:type="dxa"/>
                  <w:shd w:val="clear" w:color="auto" w:fill="auto"/>
                  <w:vAlign w:val="center"/>
                  <w:hideMark/>
                </w:tcPr>
                <w:p w14:paraId="52A40C57" w14:textId="77777777" w:rsidR="0003488E" w:rsidRPr="00DD57E3" w:rsidRDefault="0003488E" w:rsidP="0003488E">
                  <w:pPr>
                    <w:keepLines/>
                    <w:widowControl w:val="0"/>
                    <w:spacing w:after="0" w:line="240" w:lineRule="auto"/>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Estonia</w:t>
                  </w:r>
                </w:p>
              </w:tc>
              <w:tc>
                <w:tcPr>
                  <w:tcW w:w="1083" w:type="dxa"/>
                  <w:shd w:val="clear" w:color="auto" w:fill="auto"/>
                  <w:vAlign w:val="center"/>
                  <w:hideMark/>
                </w:tcPr>
                <w:p w14:paraId="7A7A38C6"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24021</w:t>
                  </w:r>
                </w:p>
              </w:tc>
              <w:tc>
                <w:tcPr>
                  <w:tcW w:w="1116" w:type="dxa"/>
                  <w:shd w:val="clear" w:color="auto" w:fill="auto"/>
                  <w:vAlign w:val="center"/>
                  <w:hideMark/>
                </w:tcPr>
                <w:p w14:paraId="3DE0F599"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916236</w:t>
                  </w:r>
                </w:p>
              </w:tc>
              <w:tc>
                <w:tcPr>
                  <w:tcW w:w="1116" w:type="dxa"/>
                  <w:shd w:val="clear" w:color="auto" w:fill="auto"/>
                  <w:vAlign w:val="center"/>
                  <w:hideMark/>
                </w:tcPr>
                <w:p w14:paraId="7A3AB72F"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1326898</w:t>
                  </w:r>
                </w:p>
              </w:tc>
              <w:tc>
                <w:tcPr>
                  <w:tcW w:w="1096" w:type="dxa"/>
                  <w:shd w:val="clear" w:color="auto" w:fill="auto"/>
                  <w:vAlign w:val="center"/>
                  <w:hideMark/>
                </w:tcPr>
                <w:p w14:paraId="399286A7"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0.69</w:t>
                  </w:r>
                </w:p>
              </w:tc>
              <w:tc>
                <w:tcPr>
                  <w:tcW w:w="1087" w:type="dxa"/>
                  <w:shd w:val="clear" w:color="auto" w:fill="auto"/>
                  <w:vAlign w:val="center"/>
                  <w:hideMark/>
                </w:tcPr>
                <w:p w14:paraId="454482D1"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0.68</w:t>
                  </w:r>
                </w:p>
              </w:tc>
              <w:tc>
                <w:tcPr>
                  <w:tcW w:w="1099" w:type="dxa"/>
                  <w:shd w:val="clear" w:color="auto" w:fill="auto"/>
                  <w:vAlign w:val="center"/>
                  <w:hideMark/>
                </w:tcPr>
                <w:p w14:paraId="705B7712"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0.92</w:t>
                  </w:r>
                </w:p>
              </w:tc>
              <w:tc>
                <w:tcPr>
                  <w:tcW w:w="1090" w:type="dxa"/>
                  <w:shd w:val="clear" w:color="auto" w:fill="auto"/>
                  <w:vAlign w:val="center"/>
                  <w:hideMark/>
                </w:tcPr>
                <w:p w14:paraId="7FF3E3FF"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0.80</w:t>
                  </w:r>
                </w:p>
              </w:tc>
            </w:tr>
            <w:tr w:rsidR="0003488E" w:rsidRPr="00DD57E3" w14:paraId="3150A73E" w14:textId="77777777" w:rsidTr="008D4682">
              <w:trPr>
                <w:cantSplit/>
                <w:trHeight w:val="20"/>
                <w:jc w:val="center"/>
              </w:trPr>
              <w:tc>
                <w:tcPr>
                  <w:tcW w:w="973" w:type="dxa"/>
                  <w:shd w:val="clear" w:color="auto" w:fill="auto"/>
                  <w:vAlign w:val="center"/>
                  <w:hideMark/>
                </w:tcPr>
                <w:p w14:paraId="79E29736" w14:textId="77777777" w:rsidR="0003488E" w:rsidRPr="00DD57E3" w:rsidRDefault="0003488E" w:rsidP="0003488E">
                  <w:pPr>
                    <w:keepLines/>
                    <w:widowControl w:val="0"/>
                    <w:spacing w:after="0" w:line="240" w:lineRule="auto"/>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Letonia</w:t>
                  </w:r>
                </w:p>
              </w:tc>
              <w:tc>
                <w:tcPr>
                  <w:tcW w:w="1083" w:type="dxa"/>
                  <w:shd w:val="clear" w:color="auto" w:fill="auto"/>
                  <w:vAlign w:val="center"/>
                  <w:hideMark/>
                </w:tcPr>
                <w:p w14:paraId="04CFDFB7"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17294</w:t>
                  </w:r>
                </w:p>
              </w:tc>
              <w:tc>
                <w:tcPr>
                  <w:tcW w:w="1116" w:type="dxa"/>
                  <w:shd w:val="clear" w:color="auto" w:fill="auto"/>
                  <w:vAlign w:val="center"/>
                  <w:hideMark/>
                </w:tcPr>
                <w:p w14:paraId="35C634F1"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1305648</w:t>
                  </w:r>
                </w:p>
              </w:tc>
              <w:tc>
                <w:tcPr>
                  <w:tcW w:w="1116" w:type="dxa"/>
                  <w:shd w:val="clear" w:color="auto" w:fill="auto"/>
                  <w:vAlign w:val="center"/>
                  <w:hideMark/>
                </w:tcPr>
                <w:p w14:paraId="0FE9C3A4"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1913822</w:t>
                  </w:r>
                </w:p>
              </w:tc>
              <w:tc>
                <w:tcPr>
                  <w:tcW w:w="1096" w:type="dxa"/>
                  <w:shd w:val="clear" w:color="auto" w:fill="auto"/>
                  <w:vAlign w:val="center"/>
                  <w:hideMark/>
                </w:tcPr>
                <w:p w14:paraId="16032600"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0.68</w:t>
                  </w:r>
                </w:p>
              </w:tc>
              <w:tc>
                <w:tcPr>
                  <w:tcW w:w="1087" w:type="dxa"/>
                  <w:shd w:val="clear" w:color="auto" w:fill="auto"/>
                  <w:vAlign w:val="center"/>
                  <w:hideMark/>
                </w:tcPr>
                <w:p w14:paraId="11D5830D"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0.49</w:t>
                  </w:r>
                </w:p>
              </w:tc>
              <w:tc>
                <w:tcPr>
                  <w:tcW w:w="1099" w:type="dxa"/>
                  <w:shd w:val="clear" w:color="auto" w:fill="auto"/>
                  <w:vAlign w:val="center"/>
                  <w:hideMark/>
                </w:tcPr>
                <w:p w14:paraId="47115447"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0.91</w:t>
                  </w:r>
                </w:p>
              </w:tc>
              <w:tc>
                <w:tcPr>
                  <w:tcW w:w="1090" w:type="dxa"/>
                  <w:shd w:val="clear" w:color="auto" w:fill="auto"/>
                  <w:vAlign w:val="center"/>
                  <w:hideMark/>
                </w:tcPr>
                <w:p w14:paraId="7EDAF75D"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0.70</w:t>
                  </w:r>
                </w:p>
              </w:tc>
            </w:tr>
            <w:tr w:rsidR="0003488E" w:rsidRPr="00DD57E3" w14:paraId="2B16003D" w14:textId="77777777" w:rsidTr="008D4682">
              <w:trPr>
                <w:cantSplit/>
                <w:trHeight w:val="20"/>
                <w:jc w:val="center"/>
              </w:trPr>
              <w:tc>
                <w:tcPr>
                  <w:tcW w:w="973" w:type="dxa"/>
                  <w:shd w:val="clear" w:color="auto" w:fill="auto"/>
                  <w:vAlign w:val="center"/>
                  <w:hideMark/>
                </w:tcPr>
                <w:p w14:paraId="7E2CC41F" w14:textId="77777777" w:rsidR="0003488E" w:rsidRPr="00DD57E3" w:rsidRDefault="0003488E" w:rsidP="0003488E">
                  <w:pPr>
                    <w:keepLines/>
                    <w:widowControl w:val="0"/>
                    <w:spacing w:after="0" w:line="240" w:lineRule="auto"/>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UE medie</w:t>
                  </w:r>
                </w:p>
              </w:tc>
              <w:tc>
                <w:tcPr>
                  <w:tcW w:w="1083" w:type="dxa"/>
                  <w:shd w:val="clear" w:color="auto" w:fill="auto"/>
                  <w:vAlign w:val="center"/>
                  <w:hideMark/>
                </w:tcPr>
                <w:p w14:paraId="166CC7DC"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35341</w:t>
                  </w:r>
                </w:p>
              </w:tc>
              <w:tc>
                <w:tcPr>
                  <w:tcW w:w="1116" w:type="dxa"/>
                  <w:shd w:val="clear" w:color="auto" w:fill="auto"/>
                  <w:vAlign w:val="center"/>
                  <w:hideMark/>
                </w:tcPr>
                <w:p w14:paraId="663BFA4B"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334323779</w:t>
                  </w:r>
                </w:p>
              </w:tc>
              <w:tc>
                <w:tcPr>
                  <w:tcW w:w="1116" w:type="dxa"/>
                  <w:shd w:val="clear" w:color="auto" w:fill="auto"/>
                  <w:vAlign w:val="center"/>
                  <w:hideMark/>
                </w:tcPr>
                <w:p w14:paraId="25FDF201"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447303223</w:t>
                  </w:r>
                </w:p>
              </w:tc>
              <w:tc>
                <w:tcPr>
                  <w:tcW w:w="1096" w:type="dxa"/>
                  <w:shd w:val="clear" w:color="auto" w:fill="auto"/>
                  <w:vAlign w:val="center"/>
                  <w:hideMark/>
                </w:tcPr>
                <w:p w14:paraId="1A39D347"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0.75</w:t>
                  </w:r>
                </w:p>
              </w:tc>
              <w:tc>
                <w:tcPr>
                  <w:tcW w:w="1087" w:type="dxa"/>
                  <w:shd w:val="clear" w:color="auto" w:fill="auto"/>
                  <w:vAlign w:val="center"/>
                  <w:hideMark/>
                </w:tcPr>
                <w:p w14:paraId="376B0623"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1.00</w:t>
                  </w:r>
                </w:p>
              </w:tc>
              <w:tc>
                <w:tcPr>
                  <w:tcW w:w="1099" w:type="dxa"/>
                  <w:shd w:val="clear" w:color="auto" w:fill="auto"/>
                  <w:vAlign w:val="center"/>
                  <w:hideMark/>
                </w:tcPr>
                <w:p w14:paraId="1FD74129"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1.00</w:t>
                  </w:r>
                </w:p>
              </w:tc>
              <w:tc>
                <w:tcPr>
                  <w:tcW w:w="1090" w:type="dxa"/>
                  <w:shd w:val="clear" w:color="auto" w:fill="auto"/>
                  <w:vAlign w:val="center"/>
                  <w:hideMark/>
                </w:tcPr>
                <w:p w14:paraId="1FEB9092"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1.00</w:t>
                  </w:r>
                </w:p>
              </w:tc>
            </w:tr>
            <w:tr w:rsidR="0003488E" w:rsidRPr="00DD57E3" w14:paraId="23DC90C6" w14:textId="77777777" w:rsidTr="00DD57E3">
              <w:trPr>
                <w:cantSplit/>
                <w:trHeight w:val="20"/>
                <w:jc w:val="center"/>
              </w:trPr>
              <w:tc>
                <w:tcPr>
                  <w:tcW w:w="973" w:type="dxa"/>
                  <w:shd w:val="clear" w:color="auto" w:fill="auto"/>
                  <w:vAlign w:val="center"/>
                  <w:hideMark/>
                </w:tcPr>
                <w:p w14:paraId="0613FDC7" w14:textId="77777777" w:rsidR="0003488E" w:rsidRPr="00DD57E3" w:rsidRDefault="0003488E" w:rsidP="0003488E">
                  <w:pPr>
                    <w:keepLines/>
                    <w:widowControl w:val="0"/>
                    <w:spacing w:after="0" w:line="240" w:lineRule="auto"/>
                    <w:rPr>
                      <w:rFonts w:ascii="Times New Roman" w:eastAsia="Times New Roman" w:hAnsi="Times New Roman" w:cs="Times New Roman"/>
                      <w:b/>
                      <w:color w:val="000000"/>
                      <w:sz w:val="20"/>
                      <w:szCs w:val="20"/>
                      <w:lang w:val="ro-MD"/>
                    </w:rPr>
                  </w:pPr>
                  <w:r w:rsidRPr="00DD57E3">
                    <w:rPr>
                      <w:rFonts w:ascii="Times New Roman" w:eastAsia="Times New Roman" w:hAnsi="Times New Roman" w:cs="Times New Roman"/>
                      <w:b/>
                      <w:color w:val="000000"/>
                      <w:sz w:val="20"/>
                      <w:szCs w:val="20"/>
                      <w:lang w:val="ro-MD"/>
                    </w:rPr>
                    <w:t>Moldova</w:t>
                  </w:r>
                </w:p>
              </w:tc>
              <w:tc>
                <w:tcPr>
                  <w:tcW w:w="1083" w:type="dxa"/>
                  <w:shd w:val="clear" w:color="auto" w:fill="auto"/>
                  <w:vAlign w:val="center"/>
                  <w:hideMark/>
                </w:tcPr>
                <w:p w14:paraId="47FB780F"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4405</w:t>
                  </w:r>
                </w:p>
              </w:tc>
              <w:tc>
                <w:tcPr>
                  <w:tcW w:w="1116" w:type="dxa"/>
                  <w:shd w:val="clear" w:color="auto" w:fill="auto"/>
                  <w:vAlign w:val="center"/>
                  <w:hideMark/>
                </w:tcPr>
                <w:p w14:paraId="1539BD34"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1138316</w:t>
                  </w:r>
                </w:p>
              </w:tc>
              <w:tc>
                <w:tcPr>
                  <w:tcW w:w="1116" w:type="dxa"/>
                  <w:shd w:val="clear" w:color="auto" w:fill="auto"/>
                  <w:vAlign w:val="center"/>
                  <w:hideMark/>
                </w:tcPr>
                <w:p w14:paraId="631C40FD"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2664224</w:t>
                  </w:r>
                </w:p>
              </w:tc>
              <w:tc>
                <w:tcPr>
                  <w:tcW w:w="1096" w:type="dxa"/>
                  <w:shd w:val="clear" w:color="auto" w:fill="auto"/>
                  <w:vAlign w:val="center"/>
                  <w:hideMark/>
                </w:tcPr>
                <w:p w14:paraId="4DF62697"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0.43</w:t>
                  </w:r>
                </w:p>
              </w:tc>
              <w:tc>
                <w:tcPr>
                  <w:tcW w:w="1087" w:type="dxa"/>
                  <w:shd w:val="clear" w:color="auto" w:fill="auto"/>
                  <w:vAlign w:val="center"/>
                  <w:hideMark/>
                </w:tcPr>
                <w:p w14:paraId="77335248"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0.12</w:t>
                  </w:r>
                </w:p>
              </w:tc>
              <w:tc>
                <w:tcPr>
                  <w:tcW w:w="1099" w:type="dxa"/>
                  <w:shd w:val="clear" w:color="auto" w:fill="auto"/>
                  <w:vAlign w:val="center"/>
                  <w:hideMark/>
                </w:tcPr>
                <w:p w14:paraId="06E895C9"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0.57</w:t>
                  </w:r>
                </w:p>
              </w:tc>
              <w:tc>
                <w:tcPr>
                  <w:tcW w:w="1090" w:type="dxa"/>
                  <w:shd w:val="clear" w:color="auto" w:fill="auto"/>
                  <w:vAlign w:val="center"/>
                  <w:hideMark/>
                </w:tcPr>
                <w:p w14:paraId="23C6FCCA"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b/>
                      <w:color w:val="000000"/>
                      <w:sz w:val="20"/>
                      <w:szCs w:val="20"/>
                      <w:lang w:val="ro-MD"/>
                    </w:rPr>
                  </w:pPr>
                  <w:r w:rsidRPr="00DD57E3">
                    <w:rPr>
                      <w:rFonts w:ascii="Times New Roman" w:eastAsia="Times New Roman" w:hAnsi="Times New Roman" w:cs="Times New Roman"/>
                      <w:b/>
                      <w:color w:val="000000"/>
                      <w:sz w:val="20"/>
                      <w:szCs w:val="20"/>
                      <w:lang w:val="ro-MD"/>
                    </w:rPr>
                    <w:t>0.35</w:t>
                  </w:r>
                </w:p>
              </w:tc>
            </w:tr>
            <w:tr w:rsidR="0003488E" w:rsidRPr="00DD57E3" w14:paraId="3BA5D3B0" w14:textId="77777777" w:rsidTr="008D4682">
              <w:trPr>
                <w:cantSplit/>
                <w:trHeight w:val="20"/>
                <w:jc w:val="center"/>
              </w:trPr>
              <w:tc>
                <w:tcPr>
                  <w:tcW w:w="973" w:type="dxa"/>
                  <w:shd w:val="clear" w:color="auto" w:fill="auto"/>
                  <w:vAlign w:val="center"/>
                  <w:hideMark/>
                </w:tcPr>
                <w:p w14:paraId="5FAAC907"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p>
              </w:tc>
              <w:tc>
                <w:tcPr>
                  <w:tcW w:w="1083" w:type="dxa"/>
                  <w:shd w:val="clear" w:color="auto" w:fill="auto"/>
                  <w:vAlign w:val="center"/>
                  <w:hideMark/>
                </w:tcPr>
                <w:p w14:paraId="35EF0E39" w14:textId="77777777" w:rsidR="0003488E" w:rsidRPr="00DD57E3" w:rsidRDefault="0003488E" w:rsidP="0003488E">
                  <w:pPr>
                    <w:keepLines/>
                    <w:widowControl w:val="0"/>
                    <w:spacing w:after="0" w:line="240" w:lineRule="auto"/>
                    <w:rPr>
                      <w:rFonts w:ascii="Times New Roman" w:eastAsia="Times New Roman" w:hAnsi="Times New Roman" w:cs="Times New Roman"/>
                      <w:sz w:val="20"/>
                      <w:szCs w:val="20"/>
                      <w:lang w:val="ro-MD"/>
                    </w:rPr>
                  </w:pPr>
                </w:p>
              </w:tc>
              <w:tc>
                <w:tcPr>
                  <w:tcW w:w="1116" w:type="dxa"/>
                  <w:shd w:val="clear" w:color="auto" w:fill="auto"/>
                  <w:vAlign w:val="center"/>
                  <w:hideMark/>
                </w:tcPr>
                <w:p w14:paraId="2F018423" w14:textId="77777777" w:rsidR="0003488E" w:rsidRPr="00DD57E3" w:rsidRDefault="0003488E" w:rsidP="0003488E">
                  <w:pPr>
                    <w:keepLines/>
                    <w:widowControl w:val="0"/>
                    <w:spacing w:after="0" w:line="240" w:lineRule="auto"/>
                    <w:rPr>
                      <w:rFonts w:ascii="Times New Roman" w:eastAsia="Times New Roman" w:hAnsi="Times New Roman" w:cs="Times New Roman"/>
                      <w:sz w:val="20"/>
                      <w:szCs w:val="20"/>
                      <w:lang w:val="ro-MD"/>
                    </w:rPr>
                  </w:pPr>
                </w:p>
              </w:tc>
              <w:tc>
                <w:tcPr>
                  <w:tcW w:w="1116" w:type="dxa"/>
                  <w:shd w:val="clear" w:color="auto" w:fill="auto"/>
                  <w:vAlign w:val="center"/>
                  <w:hideMark/>
                </w:tcPr>
                <w:p w14:paraId="68370DFA" w14:textId="77777777" w:rsidR="0003488E" w:rsidRPr="00DD57E3" w:rsidRDefault="0003488E" w:rsidP="0003488E">
                  <w:pPr>
                    <w:keepLines/>
                    <w:widowControl w:val="0"/>
                    <w:spacing w:after="0" w:line="240" w:lineRule="auto"/>
                    <w:rPr>
                      <w:rFonts w:ascii="Times New Roman" w:eastAsia="Times New Roman" w:hAnsi="Times New Roman" w:cs="Times New Roman"/>
                      <w:sz w:val="20"/>
                      <w:szCs w:val="20"/>
                      <w:lang w:val="ro-MD"/>
                    </w:rPr>
                  </w:pPr>
                </w:p>
              </w:tc>
              <w:tc>
                <w:tcPr>
                  <w:tcW w:w="1096" w:type="dxa"/>
                  <w:shd w:val="clear" w:color="auto" w:fill="auto"/>
                  <w:vAlign w:val="center"/>
                  <w:hideMark/>
                </w:tcPr>
                <w:p w14:paraId="232012CD" w14:textId="77777777" w:rsidR="0003488E" w:rsidRPr="00DD57E3" w:rsidRDefault="0003488E" w:rsidP="0003488E">
                  <w:pPr>
                    <w:keepLines/>
                    <w:widowControl w:val="0"/>
                    <w:spacing w:after="0" w:line="240" w:lineRule="auto"/>
                    <w:rPr>
                      <w:rFonts w:ascii="Times New Roman" w:eastAsia="Times New Roman" w:hAnsi="Times New Roman" w:cs="Times New Roman"/>
                      <w:sz w:val="20"/>
                      <w:szCs w:val="20"/>
                      <w:lang w:val="ro-MD"/>
                    </w:rPr>
                  </w:pPr>
                </w:p>
              </w:tc>
              <w:tc>
                <w:tcPr>
                  <w:tcW w:w="1087" w:type="dxa"/>
                  <w:shd w:val="clear" w:color="auto" w:fill="auto"/>
                  <w:vAlign w:val="center"/>
                  <w:hideMark/>
                </w:tcPr>
                <w:p w14:paraId="207E1A4A" w14:textId="77777777" w:rsidR="0003488E" w:rsidRPr="00DD57E3" w:rsidRDefault="0003488E" w:rsidP="0003488E">
                  <w:pPr>
                    <w:keepLines/>
                    <w:widowControl w:val="0"/>
                    <w:spacing w:after="0" w:line="240" w:lineRule="auto"/>
                    <w:rPr>
                      <w:rFonts w:ascii="Times New Roman" w:eastAsia="Times New Roman" w:hAnsi="Times New Roman" w:cs="Times New Roman"/>
                      <w:sz w:val="20"/>
                      <w:szCs w:val="20"/>
                      <w:lang w:val="ro-MD"/>
                    </w:rPr>
                  </w:pPr>
                </w:p>
              </w:tc>
              <w:tc>
                <w:tcPr>
                  <w:tcW w:w="1099" w:type="dxa"/>
                  <w:shd w:val="clear" w:color="auto" w:fill="auto"/>
                  <w:vAlign w:val="center"/>
                  <w:hideMark/>
                </w:tcPr>
                <w:p w14:paraId="20C35E3A" w14:textId="77777777" w:rsidR="0003488E" w:rsidRPr="00DD57E3" w:rsidRDefault="0003488E" w:rsidP="0003488E">
                  <w:pPr>
                    <w:keepLines/>
                    <w:widowControl w:val="0"/>
                    <w:spacing w:after="0" w:line="240" w:lineRule="auto"/>
                    <w:rPr>
                      <w:rFonts w:ascii="Times New Roman" w:eastAsia="Times New Roman" w:hAnsi="Times New Roman" w:cs="Times New Roman"/>
                      <w:sz w:val="20"/>
                      <w:szCs w:val="20"/>
                      <w:lang w:val="ro-MD"/>
                    </w:rPr>
                  </w:pPr>
                </w:p>
              </w:tc>
              <w:tc>
                <w:tcPr>
                  <w:tcW w:w="1090" w:type="dxa"/>
                  <w:shd w:val="clear" w:color="auto" w:fill="auto"/>
                  <w:vAlign w:val="center"/>
                  <w:hideMark/>
                </w:tcPr>
                <w:p w14:paraId="0202ACA4" w14:textId="77777777" w:rsidR="0003488E" w:rsidRPr="00DD57E3" w:rsidRDefault="0003488E" w:rsidP="0003488E">
                  <w:pPr>
                    <w:keepLines/>
                    <w:widowControl w:val="0"/>
                    <w:spacing w:after="0" w:line="240" w:lineRule="auto"/>
                    <w:rPr>
                      <w:rFonts w:ascii="Times New Roman" w:eastAsia="Times New Roman" w:hAnsi="Times New Roman" w:cs="Times New Roman"/>
                      <w:sz w:val="20"/>
                      <w:szCs w:val="20"/>
                      <w:lang w:val="ro-MD"/>
                    </w:rPr>
                  </w:pPr>
                </w:p>
              </w:tc>
            </w:tr>
            <w:tr w:rsidR="0003488E" w:rsidRPr="00DD57E3" w14:paraId="48EBC713" w14:textId="77777777" w:rsidTr="008D4682">
              <w:trPr>
                <w:cantSplit/>
                <w:trHeight w:val="20"/>
                <w:jc w:val="center"/>
              </w:trPr>
              <w:tc>
                <w:tcPr>
                  <w:tcW w:w="973" w:type="dxa"/>
                  <w:shd w:val="clear" w:color="auto" w:fill="auto"/>
                  <w:vAlign w:val="center"/>
                  <w:hideMark/>
                </w:tcPr>
                <w:p w14:paraId="63B6E50C" w14:textId="77777777" w:rsidR="0003488E" w:rsidRPr="00DD57E3" w:rsidRDefault="0003488E" w:rsidP="0003488E">
                  <w:pPr>
                    <w:keepLines/>
                    <w:widowControl w:val="0"/>
                    <w:spacing w:after="0" w:line="240" w:lineRule="auto"/>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 </w:t>
                  </w:r>
                </w:p>
              </w:tc>
              <w:tc>
                <w:tcPr>
                  <w:tcW w:w="4411" w:type="dxa"/>
                  <w:gridSpan w:val="4"/>
                  <w:shd w:val="clear" w:color="auto" w:fill="auto"/>
                  <w:vAlign w:val="center"/>
                  <w:hideMark/>
                </w:tcPr>
                <w:p w14:paraId="7A7DF398" w14:textId="77777777" w:rsidR="0003488E" w:rsidRPr="00DD57E3" w:rsidRDefault="0003488E" w:rsidP="0003488E">
                  <w:pPr>
                    <w:keepLines/>
                    <w:widowControl w:val="0"/>
                    <w:spacing w:after="0" w:line="240" w:lineRule="auto"/>
                    <w:jc w:val="center"/>
                    <w:rPr>
                      <w:rFonts w:ascii="Times New Roman" w:eastAsia="Times New Roman" w:hAnsi="Times New Roman" w:cs="Times New Roman"/>
                      <w:i/>
                      <w:color w:val="000000"/>
                      <w:sz w:val="20"/>
                      <w:szCs w:val="20"/>
                      <w:lang w:val="ro-MD"/>
                    </w:rPr>
                  </w:pPr>
                  <w:r w:rsidRPr="00DD57E3">
                    <w:rPr>
                      <w:rFonts w:ascii="Times New Roman" w:eastAsia="Times New Roman" w:hAnsi="Times New Roman" w:cs="Times New Roman"/>
                      <w:i/>
                      <w:color w:val="000000"/>
                      <w:sz w:val="20"/>
                      <w:szCs w:val="20"/>
                      <w:lang w:val="ro-MD"/>
                    </w:rPr>
                    <w:t>Baza de calcul - Biroul Național de Statistică al Republicii Moldova, 2023 (PIB), 2024 (populație)</w:t>
                  </w:r>
                </w:p>
              </w:tc>
              <w:tc>
                <w:tcPr>
                  <w:tcW w:w="1087" w:type="dxa"/>
                  <w:shd w:val="clear" w:color="auto" w:fill="auto"/>
                  <w:vAlign w:val="center"/>
                  <w:hideMark/>
                </w:tcPr>
                <w:p w14:paraId="4CF7002F" w14:textId="77777777" w:rsidR="0003488E" w:rsidRPr="00DD57E3" w:rsidRDefault="0003488E" w:rsidP="0003488E">
                  <w:pPr>
                    <w:keepLines/>
                    <w:widowControl w:val="0"/>
                    <w:spacing w:after="0" w:line="240" w:lineRule="auto"/>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 </w:t>
                  </w:r>
                </w:p>
              </w:tc>
              <w:tc>
                <w:tcPr>
                  <w:tcW w:w="1099" w:type="dxa"/>
                  <w:shd w:val="clear" w:color="auto" w:fill="auto"/>
                  <w:vAlign w:val="center"/>
                  <w:hideMark/>
                </w:tcPr>
                <w:p w14:paraId="3ACEEF8E" w14:textId="77777777" w:rsidR="0003488E" w:rsidRPr="00DD57E3" w:rsidRDefault="0003488E" w:rsidP="0003488E">
                  <w:pPr>
                    <w:keepLines/>
                    <w:widowControl w:val="0"/>
                    <w:spacing w:after="0" w:line="240" w:lineRule="auto"/>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 </w:t>
                  </w:r>
                </w:p>
              </w:tc>
              <w:tc>
                <w:tcPr>
                  <w:tcW w:w="1090" w:type="dxa"/>
                  <w:shd w:val="clear" w:color="auto" w:fill="auto"/>
                  <w:vAlign w:val="center"/>
                  <w:hideMark/>
                </w:tcPr>
                <w:p w14:paraId="2FC8E451" w14:textId="77777777" w:rsidR="0003488E" w:rsidRPr="00DD57E3" w:rsidRDefault="0003488E" w:rsidP="0003488E">
                  <w:pPr>
                    <w:keepLines/>
                    <w:widowControl w:val="0"/>
                    <w:spacing w:after="0" w:line="240" w:lineRule="auto"/>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 </w:t>
                  </w:r>
                </w:p>
              </w:tc>
            </w:tr>
            <w:tr w:rsidR="0003488E" w:rsidRPr="00DD57E3" w14:paraId="55AB4239" w14:textId="77777777" w:rsidTr="00DD57E3">
              <w:trPr>
                <w:cantSplit/>
                <w:trHeight w:val="20"/>
                <w:jc w:val="center"/>
              </w:trPr>
              <w:tc>
                <w:tcPr>
                  <w:tcW w:w="973" w:type="dxa"/>
                  <w:shd w:val="clear" w:color="auto" w:fill="auto"/>
                  <w:vAlign w:val="center"/>
                  <w:hideMark/>
                </w:tcPr>
                <w:p w14:paraId="184100F7" w14:textId="77777777" w:rsidR="0003488E" w:rsidRPr="00DD57E3" w:rsidRDefault="0003488E" w:rsidP="0003488E">
                  <w:pPr>
                    <w:keepLines/>
                    <w:widowControl w:val="0"/>
                    <w:spacing w:after="0" w:line="240" w:lineRule="auto"/>
                    <w:rPr>
                      <w:rFonts w:ascii="Times New Roman" w:eastAsia="Times New Roman" w:hAnsi="Times New Roman" w:cs="Times New Roman"/>
                      <w:b/>
                      <w:color w:val="000000"/>
                      <w:sz w:val="20"/>
                      <w:szCs w:val="20"/>
                      <w:lang w:val="ro-MD"/>
                    </w:rPr>
                  </w:pPr>
                  <w:r w:rsidRPr="00DD57E3">
                    <w:rPr>
                      <w:rFonts w:ascii="Times New Roman" w:eastAsia="Times New Roman" w:hAnsi="Times New Roman" w:cs="Times New Roman"/>
                      <w:b/>
                      <w:color w:val="000000"/>
                      <w:sz w:val="20"/>
                      <w:szCs w:val="20"/>
                      <w:lang w:val="ro-MD"/>
                    </w:rPr>
                    <w:t>Moldova</w:t>
                  </w:r>
                </w:p>
              </w:tc>
              <w:tc>
                <w:tcPr>
                  <w:tcW w:w="1083" w:type="dxa"/>
                  <w:shd w:val="clear" w:color="auto" w:fill="auto"/>
                  <w:vAlign w:val="center"/>
                  <w:hideMark/>
                </w:tcPr>
                <w:p w14:paraId="10CECE23"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6810</w:t>
                  </w:r>
                </w:p>
              </w:tc>
              <w:tc>
                <w:tcPr>
                  <w:tcW w:w="1116" w:type="dxa"/>
                  <w:shd w:val="clear" w:color="auto" w:fill="auto"/>
                  <w:vAlign w:val="center"/>
                  <w:hideMark/>
                </w:tcPr>
                <w:p w14:paraId="68C6D65A"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1113700</w:t>
                  </w:r>
                </w:p>
              </w:tc>
              <w:tc>
                <w:tcPr>
                  <w:tcW w:w="1116" w:type="dxa"/>
                  <w:shd w:val="clear" w:color="auto" w:fill="auto"/>
                  <w:vAlign w:val="center"/>
                  <w:hideMark/>
                </w:tcPr>
                <w:p w14:paraId="2F1A1908"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2401200</w:t>
                  </w:r>
                </w:p>
              </w:tc>
              <w:tc>
                <w:tcPr>
                  <w:tcW w:w="1096" w:type="dxa"/>
                  <w:shd w:val="clear" w:color="auto" w:fill="auto"/>
                  <w:vAlign w:val="center"/>
                  <w:hideMark/>
                </w:tcPr>
                <w:p w14:paraId="173F15AF"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0.46</w:t>
                  </w:r>
                </w:p>
              </w:tc>
              <w:tc>
                <w:tcPr>
                  <w:tcW w:w="1087" w:type="dxa"/>
                  <w:shd w:val="clear" w:color="auto" w:fill="auto"/>
                  <w:vAlign w:val="center"/>
                  <w:hideMark/>
                </w:tcPr>
                <w:p w14:paraId="6A2FA2E1"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0.19</w:t>
                  </w:r>
                </w:p>
              </w:tc>
              <w:tc>
                <w:tcPr>
                  <w:tcW w:w="1099" w:type="dxa"/>
                  <w:shd w:val="clear" w:color="auto" w:fill="auto"/>
                  <w:vAlign w:val="center"/>
                  <w:hideMark/>
                </w:tcPr>
                <w:p w14:paraId="40887671"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color w:val="000000"/>
                      <w:sz w:val="20"/>
                      <w:szCs w:val="20"/>
                      <w:lang w:val="ro-MD"/>
                    </w:rPr>
                  </w:pPr>
                  <w:r w:rsidRPr="00DD57E3">
                    <w:rPr>
                      <w:rFonts w:ascii="Times New Roman" w:eastAsia="Times New Roman" w:hAnsi="Times New Roman" w:cs="Times New Roman"/>
                      <w:color w:val="000000"/>
                      <w:sz w:val="20"/>
                      <w:szCs w:val="20"/>
                      <w:lang w:val="ro-MD"/>
                    </w:rPr>
                    <w:t>0.62</w:t>
                  </w:r>
                </w:p>
              </w:tc>
              <w:tc>
                <w:tcPr>
                  <w:tcW w:w="1090" w:type="dxa"/>
                  <w:shd w:val="clear" w:color="auto" w:fill="auto"/>
                  <w:vAlign w:val="center"/>
                  <w:hideMark/>
                </w:tcPr>
                <w:p w14:paraId="4E34ABAF" w14:textId="77777777" w:rsidR="0003488E" w:rsidRPr="00DD57E3" w:rsidRDefault="0003488E" w:rsidP="0003488E">
                  <w:pPr>
                    <w:keepLines/>
                    <w:widowControl w:val="0"/>
                    <w:spacing w:after="0" w:line="240" w:lineRule="auto"/>
                    <w:jc w:val="right"/>
                    <w:rPr>
                      <w:rFonts w:ascii="Times New Roman" w:eastAsia="Times New Roman" w:hAnsi="Times New Roman" w:cs="Times New Roman"/>
                      <w:b/>
                      <w:color w:val="000000"/>
                      <w:sz w:val="20"/>
                      <w:szCs w:val="20"/>
                      <w:lang w:val="ro-MD"/>
                    </w:rPr>
                  </w:pPr>
                  <w:r w:rsidRPr="00DD57E3">
                    <w:rPr>
                      <w:rFonts w:ascii="Times New Roman" w:eastAsia="Times New Roman" w:hAnsi="Times New Roman" w:cs="Times New Roman"/>
                      <w:b/>
                      <w:color w:val="000000"/>
                      <w:sz w:val="20"/>
                      <w:szCs w:val="20"/>
                      <w:lang w:val="ro-MD"/>
                    </w:rPr>
                    <w:t>0.41</w:t>
                  </w:r>
                </w:p>
              </w:tc>
            </w:tr>
          </w:tbl>
          <w:p w14:paraId="261862E5"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p>
          <w:p w14:paraId="1096AB09"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Pentru determinarea țintelor Republicii Moldova, s-a aplicat același principiu utilizat la nivel european:</w:t>
            </w:r>
          </w:p>
          <w:p w14:paraId="7F2C2273" w14:textId="77777777" w:rsidR="0003488E" w:rsidRPr="00DD57E3" w:rsidRDefault="0003488E" w:rsidP="0003488E">
            <w:pPr>
              <w:pStyle w:val="a4"/>
              <w:numPr>
                <w:ilvl w:val="0"/>
                <w:numId w:val="22"/>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Au fost colectate date privind PIB-ul per capita și ponderea populației urbane pentru Republica Moldova și cinci state membre UE, precum și valorile medii la nivelul UE.</w:t>
            </w:r>
          </w:p>
          <w:p w14:paraId="5B32A018" w14:textId="77777777" w:rsidR="0003488E" w:rsidRPr="00DD57E3" w:rsidRDefault="0003488E" w:rsidP="0003488E">
            <w:pPr>
              <w:pStyle w:val="a4"/>
              <w:numPr>
                <w:ilvl w:val="0"/>
                <w:numId w:val="22"/>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A fost calculat factorul de scalare prin raportarea valorilor Republicii Moldova la media UE pentru aceleași indicatori.</w:t>
            </w:r>
          </w:p>
          <w:p w14:paraId="40349E8C" w14:textId="77777777" w:rsidR="0003488E" w:rsidRPr="00DD57E3" w:rsidRDefault="0003488E" w:rsidP="0003488E">
            <w:pPr>
              <w:pStyle w:val="a4"/>
              <w:numPr>
                <w:ilvl w:val="0"/>
                <w:numId w:val="22"/>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Au fost derivate țintele naționale pe baza valorii ajustate a factorului de scalare.</w:t>
            </w:r>
          </w:p>
          <w:p w14:paraId="3DB334EE" w14:textId="77777777" w:rsidR="0003488E" w:rsidRPr="00DD57E3" w:rsidRDefault="0003488E" w:rsidP="0003488E">
            <w:pPr>
              <w:tabs>
                <w:tab w:val="left" w:pos="884"/>
                <w:tab w:val="left" w:pos="1196"/>
              </w:tabs>
              <w:suppressAutoHyphens/>
              <w:spacing w:before="100" w:after="100" w:line="240" w:lineRule="auto"/>
              <w:jc w:val="both"/>
              <w:rPr>
                <w:rFonts w:eastAsiaTheme="minorEastAsia" w:cs="Times New Roman"/>
                <w:bCs/>
                <w:iCs/>
                <w:szCs w:val="24"/>
                <w:lang w:val="ro-MD" w:eastAsia="ar-SA"/>
              </w:rPr>
            </w:pPr>
          </w:p>
          <w:p w14:paraId="1F0260A9" w14:textId="6C9285D7" w:rsidR="0003488E" w:rsidRPr="00DD57E3" w:rsidRDefault="0003488E" w:rsidP="0003488E">
            <w:pPr>
              <w:tabs>
                <w:tab w:val="left" w:pos="884"/>
                <w:tab w:val="left" w:pos="1196"/>
              </w:tabs>
              <w:suppressAutoHyphens/>
              <w:spacing w:before="100" w:after="100" w:line="240" w:lineRule="auto"/>
              <w:jc w:val="right"/>
              <w:rPr>
                <w:rFonts w:eastAsiaTheme="minorEastAsia" w:cs="Times New Roman"/>
                <w:bCs/>
                <w:i/>
                <w:szCs w:val="24"/>
                <w:lang w:val="ro-MD" w:eastAsia="ar-SA"/>
              </w:rPr>
            </w:pPr>
            <w:r w:rsidRPr="00DD57E3">
              <w:rPr>
                <w:rFonts w:ascii="Times New Roman" w:eastAsiaTheme="minorEastAsia" w:hAnsi="Times New Roman" w:cs="Times New Roman"/>
                <w:bCs/>
                <w:i/>
                <w:sz w:val="24"/>
                <w:szCs w:val="24"/>
                <w:lang w:val="ro-MD" w:eastAsia="ar-SA"/>
              </w:rPr>
              <w:t>Tabel</w:t>
            </w:r>
            <w:r w:rsidR="0037496F" w:rsidRPr="00DD57E3">
              <w:rPr>
                <w:rFonts w:ascii="Times New Roman" w:eastAsiaTheme="minorEastAsia" w:hAnsi="Times New Roman" w:cs="Times New Roman"/>
                <w:bCs/>
                <w:i/>
                <w:sz w:val="24"/>
                <w:szCs w:val="24"/>
                <w:lang w:val="ro-MD" w:eastAsia="ar-SA"/>
              </w:rPr>
              <w:t xml:space="preserve"> 3</w:t>
            </w:r>
            <w:r w:rsidRPr="00DD57E3">
              <w:rPr>
                <w:rFonts w:ascii="Times New Roman" w:eastAsiaTheme="minorEastAsia" w:hAnsi="Times New Roman" w:cs="Times New Roman"/>
                <w:bCs/>
                <w:i/>
                <w:sz w:val="24"/>
                <w:szCs w:val="24"/>
                <w:lang w:val="ro-MD" w:eastAsia="ar-SA"/>
              </w:rPr>
              <w:t>. Calcularea țintelor pentru RM (prima perioada de raportare)</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24"/>
              <w:gridCol w:w="855"/>
              <w:gridCol w:w="872"/>
              <w:gridCol w:w="872"/>
              <w:gridCol w:w="970"/>
              <w:gridCol w:w="761"/>
              <w:gridCol w:w="769"/>
              <w:gridCol w:w="909"/>
              <w:gridCol w:w="794"/>
              <w:gridCol w:w="945"/>
            </w:tblGrid>
            <w:tr w:rsidR="0037496F" w:rsidRPr="00DD57E3" w14:paraId="6B38AB77" w14:textId="77777777" w:rsidTr="001C4975">
              <w:trPr>
                <w:trHeight w:val="20"/>
                <w:jc w:val="center"/>
              </w:trPr>
              <w:tc>
                <w:tcPr>
                  <w:tcW w:w="1424" w:type="dxa"/>
                  <w:vMerge w:val="restart"/>
                  <w:shd w:val="clear" w:color="auto" w:fill="DEEAF6" w:themeFill="accent5" w:themeFillTint="33"/>
                  <w:vAlign w:val="center"/>
                  <w:hideMark/>
                </w:tcPr>
                <w:p w14:paraId="3942F0D6" w14:textId="17CE53E3" w:rsidR="0037496F" w:rsidRPr="00DD57E3" w:rsidRDefault="0037496F" w:rsidP="0003488E">
                  <w:pPr>
                    <w:spacing w:after="0" w:line="240" w:lineRule="auto"/>
                    <w:rPr>
                      <w:rFonts w:ascii="Times New Roman" w:eastAsia="Times New Roman" w:hAnsi="Times New Roman" w:cs="Times New Roman"/>
                      <w:sz w:val="20"/>
                      <w:szCs w:val="24"/>
                      <w:lang w:val="ro-MD"/>
                    </w:rPr>
                  </w:pPr>
                  <w:r w:rsidRPr="00DD57E3">
                    <w:rPr>
                      <w:rFonts w:ascii="Times New Roman" w:eastAsia="Times New Roman" w:hAnsi="Times New Roman" w:cs="Times New Roman"/>
                      <w:b/>
                      <w:color w:val="000000"/>
                      <w:lang w:val="ro-MD"/>
                    </w:rPr>
                    <w:t>Țară</w:t>
                  </w:r>
                </w:p>
              </w:tc>
              <w:tc>
                <w:tcPr>
                  <w:tcW w:w="855" w:type="dxa"/>
                  <w:vMerge w:val="restart"/>
                  <w:shd w:val="clear" w:color="auto" w:fill="DEEAF6" w:themeFill="accent5" w:themeFillTint="33"/>
                  <w:vAlign w:val="center"/>
                  <w:hideMark/>
                </w:tcPr>
                <w:p w14:paraId="08C6EFE6" w14:textId="77777777" w:rsidR="0037496F" w:rsidRPr="00DD57E3" w:rsidRDefault="0037496F" w:rsidP="0003488E">
                  <w:pPr>
                    <w:spacing w:after="0" w:line="240" w:lineRule="auto"/>
                    <w:jc w:val="center"/>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 </w:t>
                  </w:r>
                </w:p>
                <w:p w14:paraId="581E197B" w14:textId="52EE0D77" w:rsidR="0037496F" w:rsidRPr="00DD57E3" w:rsidRDefault="0037496F" w:rsidP="0003488E">
                  <w:pPr>
                    <w:spacing w:after="0" w:line="240" w:lineRule="auto"/>
                    <w:rPr>
                      <w:rFonts w:ascii="Times New Roman" w:eastAsia="Times New Roman" w:hAnsi="Times New Roman" w:cs="Times New Roman"/>
                      <w:i/>
                      <w:color w:val="000000"/>
                      <w:lang w:val="ro-MD"/>
                    </w:rPr>
                  </w:pPr>
                  <w:r w:rsidRPr="00DD57E3">
                    <w:rPr>
                      <w:rFonts w:ascii="Times New Roman" w:eastAsia="Times New Roman" w:hAnsi="Times New Roman" w:cs="Times New Roman"/>
                      <w:b/>
                      <w:color w:val="000000"/>
                      <w:lang w:val="ro-MD"/>
                    </w:rPr>
                    <w:t>Factor de scalare calculat</w:t>
                  </w:r>
                </w:p>
              </w:tc>
              <w:tc>
                <w:tcPr>
                  <w:tcW w:w="2714" w:type="dxa"/>
                  <w:gridSpan w:val="3"/>
                  <w:shd w:val="clear" w:color="auto" w:fill="DEEAF6" w:themeFill="accent5" w:themeFillTint="33"/>
                  <w:vAlign w:val="center"/>
                  <w:hideMark/>
                </w:tcPr>
                <w:p w14:paraId="15C4786D" w14:textId="77777777" w:rsidR="0037496F" w:rsidRPr="00DD57E3" w:rsidRDefault="0037496F" w:rsidP="0003488E">
                  <w:pPr>
                    <w:spacing w:after="0" w:line="240" w:lineRule="auto"/>
                    <w:jc w:val="center"/>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Țintele pentru 1 perioada de raportare - Directiva 2009/33/CE</w:t>
                  </w:r>
                </w:p>
              </w:tc>
              <w:tc>
                <w:tcPr>
                  <w:tcW w:w="2439" w:type="dxa"/>
                  <w:gridSpan w:val="3"/>
                  <w:shd w:val="clear" w:color="auto" w:fill="DEEAF6" w:themeFill="accent5" w:themeFillTint="33"/>
                  <w:vAlign w:val="center"/>
                  <w:hideMark/>
                </w:tcPr>
                <w:p w14:paraId="2D4CA0ED" w14:textId="6E8DE82C" w:rsidR="0037496F" w:rsidRPr="00DD57E3" w:rsidRDefault="0037496F" w:rsidP="0003488E">
                  <w:pPr>
                    <w:spacing w:after="0" w:line="240" w:lineRule="auto"/>
                    <w:jc w:val="center"/>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Factor de scalare real</w:t>
                  </w:r>
                  <w:r w:rsidR="007573BB" w:rsidRPr="00DD57E3">
                    <w:rPr>
                      <w:rFonts w:ascii="Times New Roman" w:eastAsia="Times New Roman" w:hAnsi="Times New Roman" w:cs="Times New Roman"/>
                      <w:i/>
                      <w:color w:val="000000"/>
                      <w:lang w:val="ro-MD"/>
                    </w:rPr>
                    <w:t xml:space="preserve"> (FS)</w:t>
                  </w:r>
                </w:p>
              </w:tc>
              <w:tc>
                <w:tcPr>
                  <w:tcW w:w="1739" w:type="dxa"/>
                  <w:gridSpan w:val="2"/>
                  <w:shd w:val="clear" w:color="auto" w:fill="DEEAF6" w:themeFill="accent5" w:themeFillTint="33"/>
                  <w:vAlign w:val="center"/>
                  <w:hideMark/>
                </w:tcPr>
                <w:p w14:paraId="6FC667D5" w14:textId="77777777" w:rsidR="0037496F" w:rsidRPr="00DD57E3" w:rsidRDefault="0037496F" w:rsidP="0003488E">
                  <w:pPr>
                    <w:spacing w:after="0" w:line="240" w:lineRule="auto"/>
                    <w:jc w:val="center"/>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Justificarea</w:t>
                  </w:r>
                </w:p>
              </w:tc>
            </w:tr>
            <w:tr w:rsidR="0037496F" w:rsidRPr="00DD57E3" w14:paraId="48BD8F8A" w14:textId="77777777" w:rsidTr="001C4975">
              <w:trPr>
                <w:trHeight w:val="20"/>
                <w:jc w:val="center"/>
              </w:trPr>
              <w:tc>
                <w:tcPr>
                  <w:tcW w:w="1424" w:type="dxa"/>
                  <w:vMerge/>
                  <w:shd w:val="clear" w:color="auto" w:fill="DEEAF6" w:themeFill="accent5" w:themeFillTint="33"/>
                  <w:vAlign w:val="center"/>
                  <w:hideMark/>
                </w:tcPr>
                <w:p w14:paraId="369398A4" w14:textId="0515BDB3" w:rsidR="0037496F" w:rsidRPr="00DD57E3" w:rsidRDefault="0037496F" w:rsidP="0003488E">
                  <w:pPr>
                    <w:spacing w:after="0" w:line="240" w:lineRule="auto"/>
                    <w:rPr>
                      <w:rFonts w:ascii="Times New Roman" w:eastAsia="Times New Roman" w:hAnsi="Times New Roman" w:cs="Times New Roman"/>
                      <w:b/>
                      <w:color w:val="000000"/>
                      <w:lang w:val="ro-MD"/>
                    </w:rPr>
                  </w:pPr>
                </w:p>
              </w:tc>
              <w:tc>
                <w:tcPr>
                  <w:tcW w:w="855" w:type="dxa"/>
                  <w:vMerge/>
                  <w:shd w:val="clear" w:color="auto" w:fill="DEEAF6" w:themeFill="accent5" w:themeFillTint="33"/>
                  <w:vAlign w:val="center"/>
                  <w:hideMark/>
                </w:tcPr>
                <w:p w14:paraId="5753A557" w14:textId="3EA86881" w:rsidR="0037496F" w:rsidRPr="00DD57E3" w:rsidRDefault="0037496F" w:rsidP="0003488E">
                  <w:pPr>
                    <w:spacing w:after="0" w:line="240" w:lineRule="auto"/>
                    <w:rPr>
                      <w:rFonts w:ascii="Times New Roman" w:eastAsia="Times New Roman" w:hAnsi="Times New Roman" w:cs="Times New Roman"/>
                      <w:b/>
                      <w:color w:val="000000"/>
                      <w:lang w:val="ro-MD"/>
                    </w:rPr>
                  </w:pPr>
                </w:p>
              </w:tc>
              <w:tc>
                <w:tcPr>
                  <w:tcW w:w="872" w:type="dxa"/>
                  <w:shd w:val="clear" w:color="auto" w:fill="DEEAF6" w:themeFill="accent5" w:themeFillTint="33"/>
                  <w:vAlign w:val="center"/>
                  <w:hideMark/>
                </w:tcPr>
                <w:p w14:paraId="3EFAEBAC" w14:textId="5161158B"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V</w:t>
                  </w:r>
                  <w:r w:rsidR="00EA3D5E" w:rsidRPr="00DD57E3">
                    <w:rPr>
                      <w:rFonts w:ascii="Times New Roman" w:eastAsia="Times New Roman" w:hAnsi="Times New Roman" w:cs="Times New Roman"/>
                      <w:color w:val="000000"/>
                      <w:lang w:val="ro-MD"/>
                    </w:rPr>
                    <w:t>U</w:t>
                  </w:r>
                  <w:r w:rsidRPr="00DD57E3">
                    <w:rPr>
                      <w:rFonts w:ascii="Times New Roman" w:eastAsia="Times New Roman" w:hAnsi="Times New Roman" w:cs="Times New Roman"/>
                      <w:color w:val="000000"/>
                      <w:lang w:val="ro-MD"/>
                    </w:rPr>
                    <w:t xml:space="preserve"> - perioada 1, %</w:t>
                  </w:r>
                </w:p>
              </w:tc>
              <w:tc>
                <w:tcPr>
                  <w:tcW w:w="872" w:type="dxa"/>
                  <w:shd w:val="clear" w:color="auto" w:fill="DEEAF6" w:themeFill="accent5" w:themeFillTint="33"/>
                  <w:vAlign w:val="center"/>
                  <w:hideMark/>
                </w:tcPr>
                <w:p w14:paraId="3B3002FF" w14:textId="148444D9"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V</w:t>
                  </w:r>
                  <w:r w:rsidR="00EA3D5E" w:rsidRPr="00DD57E3">
                    <w:rPr>
                      <w:rFonts w:ascii="Times New Roman" w:eastAsia="Times New Roman" w:hAnsi="Times New Roman" w:cs="Times New Roman"/>
                      <w:color w:val="000000"/>
                      <w:lang w:val="ro-MD"/>
                    </w:rPr>
                    <w:t>G</w:t>
                  </w:r>
                  <w:r w:rsidRPr="00DD57E3">
                    <w:rPr>
                      <w:rFonts w:ascii="Times New Roman" w:eastAsia="Times New Roman" w:hAnsi="Times New Roman" w:cs="Times New Roman"/>
                      <w:color w:val="000000"/>
                      <w:lang w:val="ro-MD"/>
                    </w:rPr>
                    <w:t xml:space="preserve"> - perioada 1, %</w:t>
                  </w:r>
                </w:p>
              </w:tc>
              <w:tc>
                <w:tcPr>
                  <w:tcW w:w="970" w:type="dxa"/>
                  <w:shd w:val="clear" w:color="auto" w:fill="DEEAF6" w:themeFill="accent5" w:themeFillTint="33"/>
                  <w:vAlign w:val="center"/>
                  <w:hideMark/>
                </w:tcPr>
                <w:p w14:paraId="3BEFBE7D" w14:textId="3151FA05" w:rsidR="0037496F" w:rsidRPr="00DD57E3" w:rsidRDefault="00EA3D5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xml:space="preserve">BUS </w:t>
                  </w:r>
                  <w:r w:rsidR="0037496F" w:rsidRPr="00DD57E3">
                    <w:rPr>
                      <w:rFonts w:ascii="Times New Roman" w:eastAsia="Times New Roman" w:hAnsi="Times New Roman" w:cs="Times New Roman"/>
                      <w:color w:val="000000"/>
                      <w:lang w:val="ro-MD"/>
                    </w:rPr>
                    <w:t>- perioada 1, %</w:t>
                  </w:r>
                </w:p>
              </w:tc>
              <w:tc>
                <w:tcPr>
                  <w:tcW w:w="761" w:type="dxa"/>
                  <w:shd w:val="clear" w:color="auto" w:fill="DEEAF6" w:themeFill="accent5" w:themeFillTint="33"/>
                  <w:vAlign w:val="center"/>
                  <w:hideMark/>
                </w:tcPr>
                <w:p w14:paraId="776B90AE" w14:textId="30F16CB5"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FS V</w:t>
                  </w:r>
                  <w:r w:rsidR="007573BB" w:rsidRPr="00DD57E3">
                    <w:rPr>
                      <w:rFonts w:ascii="Times New Roman" w:eastAsia="Times New Roman" w:hAnsi="Times New Roman" w:cs="Times New Roman"/>
                      <w:color w:val="000000"/>
                      <w:lang w:val="ro-MD"/>
                    </w:rPr>
                    <w:t>U</w:t>
                  </w:r>
                  <w:r w:rsidRPr="00DD57E3">
                    <w:rPr>
                      <w:rFonts w:ascii="Times New Roman" w:eastAsia="Times New Roman" w:hAnsi="Times New Roman" w:cs="Times New Roman"/>
                      <w:color w:val="000000"/>
                      <w:lang w:val="ro-MD"/>
                    </w:rPr>
                    <w:t xml:space="preserve"> 1</w:t>
                  </w:r>
                </w:p>
              </w:tc>
              <w:tc>
                <w:tcPr>
                  <w:tcW w:w="769" w:type="dxa"/>
                  <w:shd w:val="clear" w:color="auto" w:fill="DEEAF6" w:themeFill="accent5" w:themeFillTint="33"/>
                  <w:vAlign w:val="center"/>
                  <w:hideMark/>
                </w:tcPr>
                <w:p w14:paraId="749A6A27" w14:textId="38E41BE5"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FS V</w:t>
                  </w:r>
                  <w:r w:rsidR="007573BB" w:rsidRPr="00DD57E3">
                    <w:rPr>
                      <w:rFonts w:ascii="Times New Roman" w:eastAsia="Times New Roman" w:hAnsi="Times New Roman" w:cs="Times New Roman"/>
                      <w:color w:val="000000"/>
                      <w:lang w:val="ro-MD"/>
                    </w:rPr>
                    <w:t>G</w:t>
                  </w:r>
                  <w:r w:rsidRPr="00DD57E3">
                    <w:rPr>
                      <w:rFonts w:ascii="Times New Roman" w:eastAsia="Times New Roman" w:hAnsi="Times New Roman" w:cs="Times New Roman"/>
                      <w:color w:val="000000"/>
                      <w:lang w:val="ro-MD"/>
                    </w:rPr>
                    <w:t xml:space="preserve"> 1</w:t>
                  </w:r>
                </w:p>
              </w:tc>
              <w:tc>
                <w:tcPr>
                  <w:tcW w:w="909" w:type="dxa"/>
                  <w:shd w:val="clear" w:color="auto" w:fill="DEEAF6" w:themeFill="accent5" w:themeFillTint="33"/>
                  <w:vAlign w:val="center"/>
                  <w:hideMark/>
                </w:tcPr>
                <w:p w14:paraId="62E75F9D" w14:textId="220EE640"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xml:space="preserve">FS </w:t>
                  </w:r>
                  <w:r w:rsidR="007573BB" w:rsidRPr="00DD57E3">
                    <w:rPr>
                      <w:rFonts w:ascii="Times New Roman" w:eastAsia="Times New Roman" w:hAnsi="Times New Roman" w:cs="Times New Roman"/>
                      <w:color w:val="000000"/>
                      <w:lang w:val="ro-MD"/>
                    </w:rPr>
                    <w:t xml:space="preserve">BUS </w:t>
                  </w:r>
                  <w:r w:rsidRPr="00DD57E3">
                    <w:rPr>
                      <w:rFonts w:ascii="Times New Roman" w:eastAsia="Times New Roman" w:hAnsi="Times New Roman" w:cs="Times New Roman"/>
                      <w:color w:val="000000"/>
                      <w:lang w:val="ro-MD"/>
                    </w:rPr>
                    <w:t>1</w:t>
                  </w:r>
                </w:p>
              </w:tc>
              <w:tc>
                <w:tcPr>
                  <w:tcW w:w="794" w:type="dxa"/>
                  <w:shd w:val="clear" w:color="auto" w:fill="DEEAF6" w:themeFill="accent5" w:themeFillTint="33"/>
                  <w:vAlign w:val="center"/>
                  <w:hideMark/>
                </w:tcPr>
                <w:p w14:paraId="614BF734" w14:textId="77777777"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FS mediu</w:t>
                  </w:r>
                </w:p>
              </w:tc>
              <w:tc>
                <w:tcPr>
                  <w:tcW w:w="945" w:type="dxa"/>
                  <w:shd w:val="clear" w:color="auto" w:fill="DEEAF6" w:themeFill="accent5" w:themeFillTint="33"/>
                  <w:vAlign w:val="center"/>
                  <w:hideMark/>
                </w:tcPr>
                <w:p w14:paraId="3A5778AE" w14:textId="77777777"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Diferența dintre FS real și calculat</w:t>
                  </w:r>
                </w:p>
              </w:tc>
            </w:tr>
            <w:tr w:rsidR="0003488E" w:rsidRPr="00DD57E3" w14:paraId="23EA178A" w14:textId="77777777" w:rsidTr="001C4975">
              <w:trPr>
                <w:trHeight w:val="20"/>
                <w:jc w:val="center"/>
              </w:trPr>
              <w:tc>
                <w:tcPr>
                  <w:tcW w:w="1424" w:type="dxa"/>
                  <w:shd w:val="clear" w:color="auto" w:fill="auto"/>
                  <w:vAlign w:val="center"/>
                  <w:hideMark/>
                </w:tcPr>
                <w:p w14:paraId="2B38834A"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Suedia</w:t>
                  </w:r>
                </w:p>
              </w:tc>
              <w:tc>
                <w:tcPr>
                  <w:tcW w:w="855" w:type="dxa"/>
                  <w:shd w:val="clear" w:color="auto" w:fill="auto"/>
                  <w:vAlign w:val="center"/>
                  <w:hideMark/>
                </w:tcPr>
                <w:p w14:paraId="321185C6"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872" w:type="dxa"/>
                  <w:shd w:val="clear" w:color="auto" w:fill="auto"/>
                  <w:vAlign w:val="center"/>
                  <w:hideMark/>
                </w:tcPr>
                <w:p w14:paraId="6545D93D"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38.5</w:t>
                  </w:r>
                </w:p>
              </w:tc>
              <w:tc>
                <w:tcPr>
                  <w:tcW w:w="872" w:type="dxa"/>
                  <w:shd w:val="clear" w:color="auto" w:fill="auto"/>
                  <w:vAlign w:val="center"/>
                  <w:hideMark/>
                </w:tcPr>
                <w:p w14:paraId="43ABF0F8"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w:t>
                  </w:r>
                </w:p>
              </w:tc>
              <w:tc>
                <w:tcPr>
                  <w:tcW w:w="970" w:type="dxa"/>
                  <w:shd w:val="clear" w:color="auto" w:fill="auto"/>
                  <w:vAlign w:val="center"/>
                  <w:hideMark/>
                </w:tcPr>
                <w:p w14:paraId="364844F1"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45</w:t>
                  </w:r>
                </w:p>
              </w:tc>
              <w:tc>
                <w:tcPr>
                  <w:tcW w:w="761" w:type="dxa"/>
                  <w:shd w:val="clear" w:color="auto" w:fill="auto"/>
                  <w:vAlign w:val="center"/>
                  <w:hideMark/>
                </w:tcPr>
                <w:p w14:paraId="0D89AC2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769" w:type="dxa"/>
                  <w:shd w:val="clear" w:color="auto" w:fill="auto"/>
                  <w:vAlign w:val="center"/>
                  <w:hideMark/>
                </w:tcPr>
                <w:p w14:paraId="759DABB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909" w:type="dxa"/>
                  <w:shd w:val="clear" w:color="auto" w:fill="auto"/>
                  <w:vAlign w:val="center"/>
                  <w:hideMark/>
                </w:tcPr>
                <w:p w14:paraId="3CD1154C"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794" w:type="dxa"/>
                  <w:shd w:val="clear" w:color="auto" w:fill="auto"/>
                  <w:vAlign w:val="center"/>
                  <w:hideMark/>
                </w:tcPr>
                <w:p w14:paraId="3C2AD6A8"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945" w:type="dxa"/>
                  <w:shd w:val="clear" w:color="auto" w:fill="auto"/>
                  <w:vAlign w:val="center"/>
                  <w:hideMark/>
                </w:tcPr>
                <w:p w14:paraId="5279C0E6"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0.00</w:t>
                  </w:r>
                </w:p>
              </w:tc>
            </w:tr>
            <w:tr w:rsidR="0003488E" w:rsidRPr="00DD57E3" w14:paraId="71FC7BDA" w14:textId="77777777" w:rsidTr="001C4975">
              <w:trPr>
                <w:trHeight w:val="20"/>
                <w:jc w:val="center"/>
              </w:trPr>
              <w:tc>
                <w:tcPr>
                  <w:tcW w:w="1424" w:type="dxa"/>
                  <w:shd w:val="clear" w:color="auto" w:fill="auto"/>
                  <w:vAlign w:val="center"/>
                  <w:hideMark/>
                </w:tcPr>
                <w:p w14:paraId="6695D6C2"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Romania</w:t>
                  </w:r>
                </w:p>
              </w:tc>
              <w:tc>
                <w:tcPr>
                  <w:tcW w:w="855" w:type="dxa"/>
                  <w:shd w:val="clear" w:color="auto" w:fill="auto"/>
                  <w:vAlign w:val="center"/>
                  <w:hideMark/>
                </w:tcPr>
                <w:p w14:paraId="1D5CB136"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0.55</w:t>
                  </w:r>
                </w:p>
              </w:tc>
              <w:tc>
                <w:tcPr>
                  <w:tcW w:w="872" w:type="dxa"/>
                  <w:shd w:val="clear" w:color="auto" w:fill="auto"/>
                  <w:vAlign w:val="center"/>
                  <w:hideMark/>
                </w:tcPr>
                <w:p w14:paraId="08072B3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18.7</w:t>
                  </w:r>
                </w:p>
              </w:tc>
              <w:tc>
                <w:tcPr>
                  <w:tcW w:w="872" w:type="dxa"/>
                  <w:shd w:val="clear" w:color="auto" w:fill="auto"/>
                  <w:vAlign w:val="center"/>
                  <w:hideMark/>
                </w:tcPr>
                <w:p w14:paraId="1611216A"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6</w:t>
                  </w:r>
                </w:p>
              </w:tc>
              <w:tc>
                <w:tcPr>
                  <w:tcW w:w="970" w:type="dxa"/>
                  <w:shd w:val="clear" w:color="auto" w:fill="auto"/>
                  <w:vAlign w:val="center"/>
                  <w:hideMark/>
                </w:tcPr>
                <w:p w14:paraId="2A3BA9D7"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24</w:t>
                  </w:r>
                </w:p>
              </w:tc>
              <w:tc>
                <w:tcPr>
                  <w:tcW w:w="761" w:type="dxa"/>
                  <w:shd w:val="clear" w:color="auto" w:fill="auto"/>
                  <w:vAlign w:val="center"/>
                  <w:hideMark/>
                </w:tcPr>
                <w:p w14:paraId="4DEF57C6"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0.49</w:t>
                  </w:r>
                </w:p>
              </w:tc>
              <w:tc>
                <w:tcPr>
                  <w:tcW w:w="769" w:type="dxa"/>
                  <w:shd w:val="clear" w:color="auto" w:fill="auto"/>
                  <w:vAlign w:val="center"/>
                  <w:hideMark/>
                </w:tcPr>
                <w:p w14:paraId="72072962"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0.60</w:t>
                  </w:r>
                </w:p>
              </w:tc>
              <w:tc>
                <w:tcPr>
                  <w:tcW w:w="909" w:type="dxa"/>
                  <w:shd w:val="clear" w:color="auto" w:fill="auto"/>
                  <w:vAlign w:val="center"/>
                  <w:hideMark/>
                </w:tcPr>
                <w:p w14:paraId="17CB885E"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0.53</w:t>
                  </w:r>
                </w:p>
              </w:tc>
              <w:tc>
                <w:tcPr>
                  <w:tcW w:w="794" w:type="dxa"/>
                  <w:shd w:val="clear" w:color="auto" w:fill="auto"/>
                  <w:vAlign w:val="center"/>
                  <w:hideMark/>
                </w:tcPr>
                <w:p w14:paraId="763B4A0C"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0.54</w:t>
                  </w:r>
                </w:p>
              </w:tc>
              <w:tc>
                <w:tcPr>
                  <w:tcW w:w="945" w:type="dxa"/>
                  <w:shd w:val="clear" w:color="auto" w:fill="auto"/>
                  <w:vAlign w:val="center"/>
                  <w:hideMark/>
                </w:tcPr>
                <w:p w14:paraId="5B94AEA3"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-0.01</w:t>
                  </w:r>
                </w:p>
              </w:tc>
            </w:tr>
            <w:tr w:rsidR="0003488E" w:rsidRPr="00DD57E3" w14:paraId="537726F8" w14:textId="77777777" w:rsidTr="001C4975">
              <w:trPr>
                <w:trHeight w:val="20"/>
                <w:jc w:val="center"/>
              </w:trPr>
              <w:tc>
                <w:tcPr>
                  <w:tcW w:w="1424" w:type="dxa"/>
                  <w:shd w:val="clear" w:color="auto" w:fill="auto"/>
                  <w:vAlign w:val="center"/>
                  <w:hideMark/>
                </w:tcPr>
                <w:p w14:paraId="7E2855D3"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Cehia</w:t>
                  </w:r>
                </w:p>
              </w:tc>
              <w:tc>
                <w:tcPr>
                  <w:tcW w:w="855" w:type="dxa"/>
                  <w:shd w:val="clear" w:color="auto" w:fill="auto"/>
                  <w:vAlign w:val="center"/>
                  <w:hideMark/>
                </w:tcPr>
                <w:p w14:paraId="6C7174C3"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0.84</w:t>
                  </w:r>
                </w:p>
              </w:tc>
              <w:tc>
                <w:tcPr>
                  <w:tcW w:w="872" w:type="dxa"/>
                  <w:shd w:val="clear" w:color="auto" w:fill="auto"/>
                  <w:vAlign w:val="center"/>
                  <w:hideMark/>
                </w:tcPr>
                <w:p w14:paraId="57995972"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29.7</w:t>
                  </w:r>
                </w:p>
              </w:tc>
              <w:tc>
                <w:tcPr>
                  <w:tcW w:w="872" w:type="dxa"/>
                  <w:shd w:val="clear" w:color="auto" w:fill="auto"/>
                  <w:vAlign w:val="center"/>
                  <w:hideMark/>
                </w:tcPr>
                <w:p w14:paraId="310946F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9</w:t>
                  </w:r>
                </w:p>
              </w:tc>
              <w:tc>
                <w:tcPr>
                  <w:tcW w:w="970" w:type="dxa"/>
                  <w:shd w:val="clear" w:color="auto" w:fill="auto"/>
                  <w:vAlign w:val="center"/>
                  <w:hideMark/>
                </w:tcPr>
                <w:p w14:paraId="4BF3BEA1"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41</w:t>
                  </w:r>
                </w:p>
              </w:tc>
              <w:tc>
                <w:tcPr>
                  <w:tcW w:w="761" w:type="dxa"/>
                  <w:shd w:val="clear" w:color="auto" w:fill="auto"/>
                  <w:vAlign w:val="center"/>
                  <w:hideMark/>
                </w:tcPr>
                <w:p w14:paraId="60E504F9"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0.77</w:t>
                  </w:r>
                </w:p>
              </w:tc>
              <w:tc>
                <w:tcPr>
                  <w:tcW w:w="769" w:type="dxa"/>
                  <w:shd w:val="clear" w:color="auto" w:fill="auto"/>
                  <w:vAlign w:val="center"/>
                  <w:hideMark/>
                </w:tcPr>
                <w:p w14:paraId="4CFCA02B"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0.90</w:t>
                  </w:r>
                </w:p>
              </w:tc>
              <w:tc>
                <w:tcPr>
                  <w:tcW w:w="909" w:type="dxa"/>
                  <w:shd w:val="clear" w:color="auto" w:fill="auto"/>
                  <w:vAlign w:val="center"/>
                  <w:hideMark/>
                </w:tcPr>
                <w:p w14:paraId="1299780D"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0.91</w:t>
                  </w:r>
                </w:p>
              </w:tc>
              <w:tc>
                <w:tcPr>
                  <w:tcW w:w="794" w:type="dxa"/>
                  <w:shd w:val="clear" w:color="auto" w:fill="auto"/>
                  <w:vAlign w:val="center"/>
                  <w:hideMark/>
                </w:tcPr>
                <w:p w14:paraId="249F49D0"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0.86</w:t>
                  </w:r>
                </w:p>
              </w:tc>
              <w:tc>
                <w:tcPr>
                  <w:tcW w:w="945" w:type="dxa"/>
                  <w:shd w:val="clear" w:color="auto" w:fill="auto"/>
                  <w:vAlign w:val="center"/>
                  <w:hideMark/>
                </w:tcPr>
                <w:p w14:paraId="0DDF8828"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0.02</w:t>
                  </w:r>
                </w:p>
              </w:tc>
            </w:tr>
            <w:tr w:rsidR="0003488E" w:rsidRPr="00DD57E3" w14:paraId="1A46B6D9" w14:textId="77777777" w:rsidTr="001C4975">
              <w:trPr>
                <w:trHeight w:val="20"/>
                <w:jc w:val="center"/>
              </w:trPr>
              <w:tc>
                <w:tcPr>
                  <w:tcW w:w="1424" w:type="dxa"/>
                  <w:shd w:val="clear" w:color="auto" w:fill="auto"/>
                  <w:vAlign w:val="center"/>
                  <w:hideMark/>
                </w:tcPr>
                <w:p w14:paraId="1D1EDA07"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Estonia</w:t>
                  </w:r>
                </w:p>
              </w:tc>
              <w:tc>
                <w:tcPr>
                  <w:tcW w:w="855" w:type="dxa"/>
                  <w:shd w:val="clear" w:color="auto" w:fill="auto"/>
                  <w:vAlign w:val="center"/>
                  <w:hideMark/>
                </w:tcPr>
                <w:p w14:paraId="439F0187"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0.80</w:t>
                  </w:r>
                </w:p>
              </w:tc>
              <w:tc>
                <w:tcPr>
                  <w:tcW w:w="872" w:type="dxa"/>
                  <w:shd w:val="clear" w:color="auto" w:fill="auto"/>
                  <w:vAlign w:val="center"/>
                  <w:hideMark/>
                </w:tcPr>
                <w:p w14:paraId="460A80B8"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23.1</w:t>
                  </w:r>
                </w:p>
              </w:tc>
              <w:tc>
                <w:tcPr>
                  <w:tcW w:w="872" w:type="dxa"/>
                  <w:shd w:val="clear" w:color="auto" w:fill="auto"/>
                  <w:vAlign w:val="center"/>
                  <w:hideMark/>
                </w:tcPr>
                <w:p w14:paraId="1BF8E32B"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7</w:t>
                  </w:r>
                </w:p>
              </w:tc>
              <w:tc>
                <w:tcPr>
                  <w:tcW w:w="970" w:type="dxa"/>
                  <w:shd w:val="clear" w:color="auto" w:fill="auto"/>
                  <w:vAlign w:val="center"/>
                  <w:hideMark/>
                </w:tcPr>
                <w:p w14:paraId="362FB7AC"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31</w:t>
                  </w:r>
                </w:p>
              </w:tc>
              <w:tc>
                <w:tcPr>
                  <w:tcW w:w="761" w:type="dxa"/>
                  <w:shd w:val="clear" w:color="auto" w:fill="auto"/>
                  <w:vAlign w:val="center"/>
                  <w:hideMark/>
                </w:tcPr>
                <w:p w14:paraId="5FA60D29"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0.60</w:t>
                  </w:r>
                </w:p>
              </w:tc>
              <w:tc>
                <w:tcPr>
                  <w:tcW w:w="769" w:type="dxa"/>
                  <w:shd w:val="clear" w:color="auto" w:fill="auto"/>
                  <w:vAlign w:val="center"/>
                  <w:hideMark/>
                </w:tcPr>
                <w:p w14:paraId="0053C945"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0.70</w:t>
                  </w:r>
                </w:p>
              </w:tc>
              <w:tc>
                <w:tcPr>
                  <w:tcW w:w="909" w:type="dxa"/>
                  <w:shd w:val="clear" w:color="auto" w:fill="auto"/>
                  <w:vAlign w:val="center"/>
                  <w:hideMark/>
                </w:tcPr>
                <w:p w14:paraId="295D1AB5"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0.69</w:t>
                  </w:r>
                </w:p>
              </w:tc>
              <w:tc>
                <w:tcPr>
                  <w:tcW w:w="794" w:type="dxa"/>
                  <w:shd w:val="clear" w:color="auto" w:fill="auto"/>
                  <w:vAlign w:val="center"/>
                  <w:hideMark/>
                </w:tcPr>
                <w:p w14:paraId="73D665E6"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0.66</w:t>
                  </w:r>
                </w:p>
              </w:tc>
              <w:tc>
                <w:tcPr>
                  <w:tcW w:w="945" w:type="dxa"/>
                  <w:shd w:val="clear" w:color="auto" w:fill="auto"/>
                  <w:vAlign w:val="center"/>
                  <w:hideMark/>
                </w:tcPr>
                <w:p w14:paraId="0310101C" w14:textId="77777777" w:rsidR="0003488E" w:rsidRPr="00DD57E3" w:rsidRDefault="0003488E" w:rsidP="0003488E">
                  <w:pPr>
                    <w:spacing w:after="0" w:line="240" w:lineRule="auto"/>
                    <w:jc w:val="right"/>
                    <w:rPr>
                      <w:rFonts w:ascii="Times New Roman" w:eastAsia="Times New Roman" w:hAnsi="Times New Roman" w:cs="Times New Roman"/>
                      <w:color w:val="FF0000"/>
                      <w:lang w:val="ro-MD"/>
                    </w:rPr>
                  </w:pPr>
                  <w:r w:rsidRPr="00DD57E3">
                    <w:rPr>
                      <w:rFonts w:ascii="Times New Roman" w:eastAsia="Times New Roman" w:hAnsi="Times New Roman" w:cs="Times New Roman"/>
                      <w:color w:val="FF0000"/>
                      <w:lang w:val="ro-MD"/>
                    </w:rPr>
                    <w:t>-0.14</w:t>
                  </w:r>
                </w:p>
              </w:tc>
            </w:tr>
            <w:tr w:rsidR="0003488E" w:rsidRPr="00DD57E3" w14:paraId="63016150" w14:textId="77777777" w:rsidTr="001C4975">
              <w:trPr>
                <w:trHeight w:val="20"/>
                <w:jc w:val="center"/>
              </w:trPr>
              <w:tc>
                <w:tcPr>
                  <w:tcW w:w="1424" w:type="dxa"/>
                  <w:shd w:val="clear" w:color="auto" w:fill="auto"/>
                  <w:vAlign w:val="center"/>
                  <w:hideMark/>
                </w:tcPr>
                <w:p w14:paraId="25E170E9"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Letonia</w:t>
                  </w:r>
                </w:p>
              </w:tc>
              <w:tc>
                <w:tcPr>
                  <w:tcW w:w="855" w:type="dxa"/>
                  <w:shd w:val="clear" w:color="auto" w:fill="auto"/>
                  <w:vAlign w:val="center"/>
                  <w:hideMark/>
                </w:tcPr>
                <w:p w14:paraId="54B56F76"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0.70</w:t>
                  </w:r>
                </w:p>
              </w:tc>
              <w:tc>
                <w:tcPr>
                  <w:tcW w:w="872" w:type="dxa"/>
                  <w:shd w:val="clear" w:color="auto" w:fill="auto"/>
                  <w:vAlign w:val="center"/>
                  <w:hideMark/>
                </w:tcPr>
                <w:p w14:paraId="4F81F362"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22</w:t>
                  </w:r>
                </w:p>
              </w:tc>
              <w:tc>
                <w:tcPr>
                  <w:tcW w:w="872" w:type="dxa"/>
                  <w:shd w:val="clear" w:color="auto" w:fill="auto"/>
                  <w:vAlign w:val="center"/>
                  <w:hideMark/>
                </w:tcPr>
                <w:p w14:paraId="4762D78F"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8</w:t>
                  </w:r>
                </w:p>
              </w:tc>
              <w:tc>
                <w:tcPr>
                  <w:tcW w:w="970" w:type="dxa"/>
                  <w:shd w:val="clear" w:color="auto" w:fill="auto"/>
                  <w:vAlign w:val="center"/>
                  <w:hideMark/>
                </w:tcPr>
                <w:p w14:paraId="35F46470"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35</w:t>
                  </w:r>
                </w:p>
              </w:tc>
              <w:tc>
                <w:tcPr>
                  <w:tcW w:w="761" w:type="dxa"/>
                  <w:shd w:val="clear" w:color="auto" w:fill="auto"/>
                  <w:vAlign w:val="center"/>
                  <w:hideMark/>
                </w:tcPr>
                <w:p w14:paraId="7BBDEE35"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0.57</w:t>
                  </w:r>
                </w:p>
              </w:tc>
              <w:tc>
                <w:tcPr>
                  <w:tcW w:w="769" w:type="dxa"/>
                  <w:shd w:val="clear" w:color="auto" w:fill="auto"/>
                  <w:vAlign w:val="center"/>
                  <w:hideMark/>
                </w:tcPr>
                <w:p w14:paraId="40685912"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0.80</w:t>
                  </w:r>
                </w:p>
              </w:tc>
              <w:tc>
                <w:tcPr>
                  <w:tcW w:w="909" w:type="dxa"/>
                  <w:shd w:val="clear" w:color="auto" w:fill="auto"/>
                  <w:vAlign w:val="center"/>
                  <w:hideMark/>
                </w:tcPr>
                <w:p w14:paraId="7E2DDE1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0.78</w:t>
                  </w:r>
                </w:p>
              </w:tc>
              <w:tc>
                <w:tcPr>
                  <w:tcW w:w="794" w:type="dxa"/>
                  <w:shd w:val="clear" w:color="auto" w:fill="auto"/>
                  <w:vAlign w:val="center"/>
                  <w:hideMark/>
                </w:tcPr>
                <w:p w14:paraId="40AD9D9A"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0.72</w:t>
                  </w:r>
                </w:p>
              </w:tc>
              <w:tc>
                <w:tcPr>
                  <w:tcW w:w="945" w:type="dxa"/>
                  <w:shd w:val="clear" w:color="auto" w:fill="auto"/>
                  <w:vAlign w:val="center"/>
                  <w:hideMark/>
                </w:tcPr>
                <w:p w14:paraId="5F83EBFE"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0.02</w:t>
                  </w:r>
                </w:p>
              </w:tc>
            </w:tr>
            <w:tr w:rsidR="0003488E" w:rsidRPr="00DD57E3" w14:paraId="6240F4F7" w14:textId="77777777" w:rsidTr="001C4975">
              <w:trPr>
                <w:trHeight w:val="20"/>
                <w:jc w:val="center"/>
              </w:trPr>
              <w:tc>
                <w:tcPr>
                  <w:tcW w:w="1424" w:type="dxa"/>
                  <w:shd w:val="clear" w:color="auto" w:fill="auto"/>
                  <w:vAlign w:val="center"/>
                  <w:hideMark/>
                </w:tcPr>
                <w:p w14:paraId="46FF256F"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UE medie</w:t>
                  </w:r>
                </w:p>
              </w:tc>
              <w:tc>
                <w:tcPr>
                  <w:tcW w:w="855" w:type="dxa"/>
                  <w:shd w:val="clear" w:color="auto" w:fill="auto"/>
                  <w:vAlign w:val="center"/>
                  <w:hideMark/>
                </w:tcPr>
                <w:p w14:paraId="454BF85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872" w:type="dxa"/>
                  <w:shd w:val="clear" w:color="000000" w:fill="D9D9D9"/>
                  <w:vAlign w:val="center"/>
                  <w:hideMark/>
                </w:tcPr>
                <w:p w14:paraId="0E8282AA"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872" w:type="dxa"/>
                  <w:shd w:val="clear" w:color="000000" w:fill="D9D9D9"/>
                  <w:vAlign w:val="center"/>
                  <w:hideMark/>
                </w:tcPr>
                <w:p w14:paraId="3FDB668F"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70" w:type="dxa"/>
                  <w:shd w:val="clear" w:color="000000" w:fill="D9D9D9"/>
                  <w:vAlign w:val="center"/>
                  <w:hideMark/>
                </w:tcPr>
                <w:p w14:paraId="5EFA5BA2"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761" w:type="dxa"/>
                  <w:shd w:val="clear" w:color="000000" w:fill="D9D9D9"/>
                  <w:vAlign w:val="center"/>
                  <w:hideMark/>
                </w:tcPr>
                <w:p w14:paraId="459A2DF8"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769" w:type="dxa"/>
                  <w:shd w:val="clear" w:color="000000" w:fill="D9D9D9"/>
                  <w:vAlign w:val="center"/>
                  <w:hideMark/>
                </w:tcPr>
                <w:p w14:paraId="46E24DF2"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09" w:type="dxa"/>
                  <w:shd w:val="clear" w:color="000000" w:fill="D9D9D9"/>
                  <w:vAlign w:val="center"/>
                  <w:hideMark/>
                </w:tcPr>
                <w:p w14:paraId="72D5285C"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794" w:type="dxa"/>
                  <w:shd w:val="clear" w:color="000000" w:fill="D9D9D9"/>
                  <w:vAlign w:val="center"/>
                  <w:hideMark/>
                </w:tcPr>
                <w:p w14:paraId="767A3D64"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45" w:type="dxa"/>
                  <w:shd w:val="clear" w:color="000000" w:fill="D9D9D9"/>
                  <w:vAlign w:val="center"/>
                  <w:hideMark/>
                </w:tcPr>
                <w:p w14:paraId="4A921BCA"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r>
            <w:tr w:rsidR="0003488E" w:rsidRPr="00DD57E3" w14:paraId="10D83926" w14:textId="77777777" w:rsidTr="00DD57E3">
              <w:trPr>
                <w:trHeight w:val="20"/>
                <w:jc w:val="center"/>
              </w:trPr>
              <w:tc>
                <w:tcPr>
                  <w:tcW w:w="1424" w:type="dxa"/>
                  <w:shd w:val="clear" w:color="auto" w:fill="auto"/>
                  <w:vAlign w:val="center"/>
                  <w:hideMark/>
                </w:tcPr>
                <w:p w14:paraId="710286BD" w14:textId="77777777" w:rsidR="0003488E" w:rsidRPr="00DD57E3" w:rsidRDefault="0003488E" w:rsidP="0003488E">
                  <w:pPr>
                    <w:spacing w:after="0" w:line="240" w:lineRule="auto"/>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Moldova</w:t>
                  </w:r>
                </w:p>
              </w:tc>
              <w:tc>
                <w:tcPr>
                  <w:tcW w:w="855" w:type="dxa"/>
                  <w:shd w:val="clear" w:color="auto" w:fill="auto"/>
                  <w:vAlign w:val="center"/>
                  <w:hideMark/>
                </w:tcPr>
                <w:p w14:paraId="08F7E6CB"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0.35</w:t>
                  </w:r>
                </w:p>
              </w:tc>
              <w:tc>
                <w:tcPr>
                  <w:tcW w:w="872" w:type="dxa"/>
                  <w:shd w:val="clear" w:color="auto" w:fill="auto"/>
                  <w:vAlign w:val="center"/>
                  <w:hideMark/>
                </w:tcPr>
                <w:p w14:paraId="295D9D0A"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13.5</w:t>
                  </w:r>
                </w:p>
              </w:tc>
              <w:tc>
                <w:tcPr>
                  <w:tcW w:w="872" w:type="dxa"/>
                  <w:shd w:val="clear" w:color="auto" w:fill="auto"/>
                  <w:vAlign w:val="center"/>
                  <w:hideMark/>
                </w:tcPr>
                <w:p w14:paraId="075E5151"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4.0</w:t>
                  </w:r>
                </w:p>
              </w:tc>
              <w:tc>
                <w:tcPr>
                  <w:tcW w:w="970" w:type="dxa"/>
                  <w:shd w:val="clear" w:color="auto" w:fill="auto"/>
                  <w:vAlign w:val="center"/>
                  <w:hideMark/>
                </w:tcPr>
                <w:p w14:paraId="48624B3F"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16.0</w:t>
                  </w:r>
                </w:p>
              </w:tc>
              <w:tc>
                <w:tcPr>
                  <w:tcW w:w="761" w:type="dxa"/>
                  <w:shd w:val="clear" w:color="000000" w:fill="DBDBDB"/>
                  <w:vAlign w:val="center"/>
                  <w:hideMark/>
                </w:tcPr>
                <w:p w14:paraId="7DED79EA"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769" w:type="dxa"/>
                  <w:shd w:val="clear" w:color="000000" w:fill="DBDBDB"/>
                  <w:vAlign w:val="center"/>
                  <w:hideMark/>
                </w:tcPr>
                <w:p w14:paraId="1A6AF188"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09" w:type="dxa"/>
                  <w:shd w:val="clear" w:color="000000" w:fill="DBDBDB"/>
                  <w:vAlign w:val="center"/>
                  <w:hideMark/>
                </w:tcPr>
                <w:p w14:paraId="13C0BB10"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794" w:type="dxa"/>
                  <w:shd w:val="clear" w:color="000000" w:fill="DBDBDB"/>
                  <w:vAlign w:val="center"/>
                  <w:hideMark/>
                </w:tcPr>
                <w:p w14:paraId="63D50151"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45" w:type="dxa"/>
                  <w:shd w:val="clear" w:color="000000" w:fill="DBDBDB"/>
                  <w:vAlign w:val="center"/>
                  <w:hideMark/>
                </w:tcPr>
                <w:p w14:paraId="7DA07C94"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r>
            <w:tr w:rsidR="0003488E" w:rsidRPr="00DD57E3" w14:paraId="7B1E75FE" w14:textId="77777777" w:rsidTr="001C4975">
              <w:trPr>
                <w:trHeight w:val="20"/>
                <w:jc w:val="center"/>
              </w:trPr>
              <w:tc>
                <w:tcPr>
                  <w:tcW w:w="1424" w:type="dxa"/>
                  <w:shd w:val="clear" w:color="auto" w:fill="auto"/>
                  <w:vAlign w:val="center"/>
                  <w:hideMark/>
                </w:tcPr>
                <w:p w14:paraId="52151230" w14:textId="77777777" w:rsidR="0003488E" w:rsidRPr="00DD57E3" w:rsidRDefault="0003488E" w:rsidP="0003488E">
                  <w:pPr>
                    <w:spacing w:after="0" w:line="240" w:lineRule="auto"/>
                    <w:rPr>
                      <w:rFonts w:ascii="Times New Roman" w:eastAsia="Times New Roman" w:hAnsi="Times New Roman" w:cs="Times New Roman"/>
                      <w:color w:val="000000"/>
                      <w:lang w:val="ro-MD"/>
                    </w:rPr>
                  </w:pPr>
                </w:p>
              </w:tc>
              <w:tc>
                <w:tcPr>
                  <w:tcW w:w="855" w:type="dxa"/>
                  <w:shd w:val="clear" w:color="auto" w:fill="auto"/>
                  <w:vAlign w:val="center"/>
                  <w:hideMark/>
                </w:tcPr>
                <w:p w14:paraId="0D679BCC"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872" w:type="dxa"/>
                  <w:shd w:val="clear" w:color="auto" w:fill="auto"/>
                  <w:vAlign w:val="center"/>
                  <w:hideMark/>
                </w:tcPr>
                <w:p w14:paraId="5AD0AB36"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872" w:type="dxa"/>
                  <w:shd w:val="clear" w:color="auto" w:fill="auto"/>
                  <w:vAlign w:val="center"/>
                  <w:hideMark/>
                </w:tcPr>
                <w:p w14:paraId="1245291C"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70" w:type="dxa"/>
                  <w:shd w:val="clear" w:color="auto" w:fill="auto"/>
                  <w:vAlign w:val="center"/>
                  <w:hideMark/>
                </w:tcPr>
                <w:p w14:paraId="0246DFA2"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761" w:type="dxa"/>
                  <w:shd w:val="clear" w:color="auto" w:fill="auto"/>
                  <w:vAlign w:val="center"/>
                  <w:hideMark/>
                </w:tcPr>
                <w:p w14:paraId="73FDEFC3"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769" w:type="dxa"/>
                  <w:shd w:val="clear" w:color="auto" w:fill="auto"/>
                  <w:vAlign w:val="center"/>
                  <w:hideMark/>
                </w:tcPr>
                <w:p w14:paraId="6FE40898"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09" w:type="dxa"/>
                  <w:shd w:val="clear" w:color="auto" w:fill="auto"/>
                  <w:vAlign w:val="center"/>
                  <w:hideMark/>
                </w:tcPr>
                <w:p w14:paraId="1A2AB09F"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794" w:type="dxa"/>
                  <w:shd w:val="clear" w:color="auto" w:fill="auto"/>
                  <w:vAlign w:val="center"/>
                  <w:hideMark/>
                </w:tcPr>
                <w:p w14:paraId="72C691E9"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45" w:type="dxa"/>
                  <w:shd w:val="clear" w:color="auto" w:fill="auto"/>
                  <w:vAlign w:val="center"/>
                  <w:hideMark/>
                </w:tcPr>
                <w:p w14:paraId="46D882CB"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r>
            <w:tr w:rsidR="0003488E" w:rsidRPr="00DD57E3" w14:paraId="55FD0CA6" w14:textId="77777777" w:rsidTr="001C4975">
              <w:trPr>
                <w:trHeight w:val="345"/>
                <w:jc w:val="center"/>
              </w:trPr>
              <w:tc>
                <w:tcPr>
                  <w:tcW w:w="4993" w:type="dxa"/>
                  <w:gridSpan w:val="5"/>
                  <w:shd w:val="clear" w:color="auto" w:fill="auto"/>
                  <w:vAlign w:val="center"/>
                  <w:hideMark/>
                </w:tcPr>
                <w:p w14:paraId="5AA17FB7" w14:textId="77777777" w:rsidR="0003488E" w:rsidRPr="00DD57E3" w:rsidRDefault="0003488E" w:rsidP="0003488E">
                  <w:pPr>
                    <w:spacing w:after="0" w:line="240" w:lineRule="auto"/>
                    <w:jc w:val="center"/>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2023-2024</w:t>
                  </w:r>
                </w:p>
              </w:tc>
              <w:tc>
                <w:tcPr>
                  <w:tcW w:w="761" w:type="dxa"/>
                  <w:shd w:val="clear" w:color="auto" w:fill="auto"/>
                  <w:vAlign w:val="center"/>
                  <w:hideMark/>
                </w:tcPr>
                <w:p w14:paraId="00AD85CC"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769" w:type="dxa"/>
                  <w:shd w:val="clear" w:color="auto" w:fill="auto"/>
                  <w:vAlign w:val="center"/>
                  <w:hideMark/>
                </w:tcPr>
                <w:p w14:paraId="1BF28F52"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09" w:type="dxa"/>
                  <w:shd w:val="clear" w:color="auto" w:fill="auto"/>
                  <w:vAlign w:val="center"/>
                  <w:hideMark/>
                </w:tcPr>
                <w:p w14:paraId="4370F6B6"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794" w:type="dxa"/>
                  <w:shd w:val="clear" w:color="auto" w:fill="auto"/>
                  <w:vAlign w:val="center"/>
                  <w:hideMark/>
                </w:tcPr>
                <w:p w14:paraId="5FB572C1"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45" w:type="dxa"/>
                  <w:shd w:val="clear" w:color="auto" w:fill="auto"/>
                  <w:vAlign w:val="center"/>
                  <w:hideMark/>
                </w:tcPr>
                <w:p w14:paraId="4F0034F9"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r>
            <w:tr w:rsidR="0003488E" w:rsidRPr="00DD57E3" w14:paraId="22064B5B" w14:textId="77777777" w:rsidTr="00DD57E3">
              <w:trPr>
                <w:trHeight w:val="20"/>
                <w:jc w:val="center"/>
              </w:trPr>
              <w:tc>
                <w:tcPr>
                  <w:tcW w:w="1424" w:type="dxa"/>
                  <w:shd w:val="clear" w:color="auto" w:fill="auto"/>
                  <w:vAlign w:val="center"/>
                  <w:hideMark/>
                </w:tcPr>
                <w:p w14:paraId="67DB0E20" w14:textId="77777777" w:rsidR="0003488E" w:rsidRPr="00DD57E3" w:rsidRDefault="0003488E" w:rsidP="0003488E">
                  <w:pPr>
                    <w:spacing w:after="0" w:line="240" w:lineRule="auto"/>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Moldova</w:t>
                  </w:r>
                </w:p>
              </w:tc>
              <w:tc>
                <w:tcPr>
                  <w:tcW w:w="855" w:type="dxa"/>
                  <w:shd w:val="clear" w:color="auto" w:fill="auto"/>
                  <w:vAlign w:val="center"/>
                  <w:hideMark/>
                </w:tcPr>
                <w:p w14:paraId="59B9C8F3"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0.41</w:t>
                  </w:r>
                </w:p>
              </w:tc>
              <w:tc>
                <w:tcPr>
                  <w:tcW w:w="872" w:type="dxa"/>
                  <w:shd w:val="clear" w:color="auto" w:fill="auto"/>
                  <w:vAlign w:val="center"/>
                  <w:hideMark/>
                </w:tcPr>
                <w:p w14:paraId="475EFEA0"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15.8</w:t>
                  </w:r>
                </w:p>
              </w:tc>
              <w:tc>
                <w:tcPr>
                  <w:tcW w:w="872" w:type="dxa"/>
                  <w:shd w:val="clear" w:color="auto" w:fill="auto"/>
                  <w:vAlign w:val="center"/>
                  <w:hideMark/>
                </w:tcPr>
                <w:p w14:paraId="225B0CA1"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4.0</w:t>
                  </w:r>
                </w:p>
              </w:tc>
              <w:tc>
                <w:tcPr>
                  <w:tcW w:w="970" w:type="dxa"/>
                  <w:shd w:val="clear" w:color="auto" w:fill="auto"/>
                  <w:vAlign w:val="center"/>
                  <w:hideMark/>
                </w:tcPr>
                <w:p w14:paraId="1A00416D"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18.0</w:t>
                  </w:r>
                </w:p>
              </w:tc>
              <w:tc>
                <w:tcPr>
                  <w:tcW w:w="761" w:type="dxa"/>
                  <w:shd w:val="clear" w:color="auto" w:fill="auto"/>
                  <w:vAlign w:val="center"/>
                  <w:hideMark/>
                </w:tcPr>
                <w:p w14:paraId="16DAAA46"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769" w:type="dxa"/>
                  <w:shd w:val="clear" w:color="auto" w:fill="auto"/>
                  <w:vAlign w:val="center"/>
                  <w:hideMark/>
                </w:tcPr>
                <w:p w14:paraId="5DC2F155"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09" w:type="dxa"/>
                  <w:shd w:val="clear" w:color="auto" w:fill="auto"/>
                  <w:vAlign w:val="center"/>
                  <w:hideMark/>
                </w:tcPr>
                <w:p w14:paraId="1AB122AC"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794" w:type="dxa"/>
                  <w:shd w:val="clear" w:color="auto" w:fill="auto"/>
                  <w:vAlign w:val="center"/>
                  <w:hideMark/>
                </w:tcPr>
                <w:p w14:paraId="188BDD54"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45" w:type="dxa"/>
                  <w:shd w:val="clear" w:color="auto" w:fill="auto"/>
                  <w:vAlign w:val="center"/>
                  <w:hideMark/>
                </w:tcPr>
                <w:p w14:paraId="48B6A5E0"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r>
          </w:tbl>
          <w:p w14:paraId="6685B8C0" w14:textId="77777777" w:rsidR="0003488E" w:rsidRPr="00DD57E3" w:rsidRDefault="0003488E" w:rsidP="0003488E">
            <w:pPr>
              <w:tabs>
                <w:tab w:val="left" w:pos="884"/>
                <w:tab w:val="left" w:pos="1196"/>
              </w:tabs>
              <w:suppressAutoHyphens/>
              <w:spacing w:before="100" w:after="100" w:line="240" w:lineRule="auto"/>
              <w:jc w:val="right"/>
              <w:rPr>
                <w:rFonts w:ascii="Times New Roman" w:eastAsiaTheme="minorEastAsia" w:hAnsi="Times New Roman" w:cs="Times New Roman"/>
                <w:bCs/>
                <w:i/>
                <w:szCs w:val="24"/>
                <w:lang w:val="ro-MD" w:eastAsia="ar-SA"/>
              </w:rPr>
            </w:pPr>
          </w:p>
          <w:p w14:paraId="538F8384" w14:textId="77777777" w:rsidR="00167E6F" w:rsidRPr="00DD57E3" w:rsidRDefault="0003488E" w:rsidP="0037496F">
            <w:pPr>
              <w:spacing w:after="160" w:line="259" w:lineRule="auto"/>
              <w:jc w:val="right"/>
              <w:rPr>
                <w:rFonts w:ascii="Times New Roman" w:eastAsiaTheme="minorEastAsia" w:hAnsi="Times New Roman" w:cs="Times New Roman"/>
                <w:bCs/>
                <w:i/>
                <w:szCs w:val="24"/>
                <w:lang w:val="ro-MD" w:eastAsia="ar-SA"/>
              </w:rPr>
            </w:pPr>
            <w:r w:rsidRPr="00DD57E3">
              <w:rPr>
                <w:rFonts w:ascii="Times New Roman" w:eastAsiaTheme="minorEastAsia" w:hAnsi="Times New Roman" w:cs="Times New Roman"/>
                <w:bCs/>
                <w:i/>
                <w:szCs w:val="24"/>
                <w:lang w:val="ro-MD" w:eastAsia="ar-SA"/>
              </w:rPr>
              <w:br w:type="page"/>
            </w:r>
          </w:p>
          <w:p w14:paraId="461B66D2" w14:textId="77777777" w:rsidR="00167E6F" w:rsidRPr="00DD57E3" w:rsidRDefault="00167E6F" w:rsidP="0037496F">
            <w:pPr>
              <w:spacing w:after="160" w:line="259" w:lineRule="auto"/>
              <w:jc w:val="right"/>
              <w:rPr>
                <w:rFonts w:ascii="Times New Roman" w:eastAsiaTheme="minorEastAsia" w:hAnsi="Times New Roman" w:cs="Times New Roman"/>
                <w:bCs/>
                <w:i/>
                <w:szCs w:val="24"/>
                <w:lang w:val="ro-MD" w:eastAsia="ar-SA"/>
              </w:rPr>
            </w:pPr>
          </w:p>
          <w:p w14:paraId="71C0539C" w14:textId="77777777" w:rsidR="00167E6F" w:rsidRPr="00DD57E3" w:rsidRDefault="00167E6F" w:rsidP="0037496F">
            <w:pPr>
              <w:spacing w:after="160" w:line="259" w:lineRule="auto"/>
              <w:jc w:val="right"/>
              <w:rPr>
                <w:rFonts w:ascii="Times New Roman" w:eastAsiaTheme="minorEastAsia" w:hAnsi="Times New Roman" w:cs="Times New Roman"/>
                <w:bCs/>
                <w:i/>
                <w:szCs w:val="24"/>
                <w:lang w:val="ro-MD" w:eastAsia="ar-SA"/>
              </w:rPr>
            </w:pPr>
          </w:p>
          <w:p w14:paraId="2A2A209D" w14:textId="77777777" w:rsidR="00167E6F" w:rsidRPr="00DD57E3" w:rsidRDefault="00167E6F" w:rsidP="0037496F">
            <w:pPr>
              <w:spacing w:after="160" w:line="259" w:lineRule="auto"/>
              <w:jc w:val="right"/>
              <w:rPr>
                <w:rFonts w:ascii="Times New Roman" w:eastAsiaTheme="minorEastAsia" w:hAnsi="Times New Roman" w:cs="Times New Roman"/>
                <w:bCs/>
                <w:i/>
                <w:szCs w:val="24"/>
                <w:lang w:val="ro-MD" w:eastAsia="ar-SA"/>
              </w:rPr>
            </w:pPr>
          </w:p>
          <w:p w14:paraId="70449AF8" w14:textId="77777777" w:rsidR="00167E6F" w:rsidRPr="00DD57E3" w:rsidRDefault="00167E6F" w:rsidP="0037496F">
            <w:pPr>
              <w:spacing w:after="160" w:line="259" w:lineRule="auto"/>
              <w:jc w:val="right"/>
              <w:rPr>
                <w:rFonts w:ascii="Times New Roman" w:eastAsiaTheme="minorEastAsia" w:hAnsi="Times New Roman" w:cs="Times New Roman"/>
                <w:bCs/>
                <w:i/>
                <w:szCs w:val="24"/>
                <w:lang w:val="ro-MD" w:eastAsia="ar-SA"/>
              </w:rPr>
            </w:pPr>
          </w:p>
          <w:p w14:paraId="279A830E" w14:textId="2D31F304" w:rsidR="0003488E" w:rsidRPr="00DD57E3" w:rsidRDefault="0003488E" w:rsidP="0037496F">
            <w:pPr>
              <w:spacing w:after="160" w:line="259" w:lineRule="auto"/>
              <w:jc w:val="right"/>
              <w:rPr>
                <w:rFonts w:ascii="Times New Roman" w:eastAsiaTheme="minorEastAsia" w:hAnsi="Times New Roman" w:cs="Times New Roman"/>
                <w:bCs/>
                <w:i/>
                <w:sz w:val="24"/>
                <w:szCs w:val="24"/>
                <w:lang w:val="ro-MD" w:eastAsia="ar-SA"/>
              </w:rPr>
            </w:pPr>
            <w:r w:rsidRPr="00DD57E3">
              <w:rPr>
                <w:rFonts w:ascii="Times New Roman" w:eastAsiaTheme="minorEastAsia" w:hAnsi="Times New Roman" w:cs="Times New Roman"/>
                <w:bCs/>
                <w:i/>
                <w:sz w:val="24"/>
                <w:szCs w:val="24"/>
                <w:lang w:val="ro-MD" w:eastAsia="ar-SA"/>
              </w:rPr>
              <w:lastRenderedPageBreak/>
              <w:t>Tabel</w:t>
            </w:r>
            <w:r w:rsidR="0037496F" w:rsidRPr="00DD57E3">
              <w:rPr>
                <w:rFonts w:ascii="Times New Roman" w:eastAsiaTheme="minorEastAsia" w:hAnsi="Times New Roman" w:cs="Times New Roman"/>
                <w:bCs/>
                <w:i/>
                <w:sz w:val="24"/>
                <w:szCs w:val="24"/>
                <w:lang w:val="ro-MD" w:eastAsia="ar-SA"/>
              </w:rPr>
              <w:t xml:space="preserve"> 4</w:t>
            </w:r>
            <w:r w:rsidRPr="00DD57E3">
              <w:rPr>
                <w:rFonts w:ascii="Times New Roman" w:eastAsiaTheme="minorEastAsia" w:hAnsi="Times New Roman" w:cs="Times New Roman"/>
                <w:bCs/>
                <w:i/>
                <w:sz w:val="24"/>
                <w:szCs w:val="24"/>
                <w:lang w:val="ro-MD" w:eastAsia="ar-SA"/>
              </w:rPr>
              <w:t>. Calcularea țintelor pentru RM (a doua perioada de raportare)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9"/>
              <w:gridCol w:w="859"/>
              <w:gridCol w:w="917"/>
              <w:gridCol w:w="917"/>
              <w:gridCol w:w="970"/>
              <w:gridCol w:w="895"/>
              <w:gridCol w:w="897"/>
              <w:gridCol w:w="919"/>
              <w:gridCol w:w="902"/>
              <w:gridCol w:w="945"/>
            </w:tblGrid>
            <w:tr w:rsidR="0037496F" w:rsidRPr="00DD57E3" w14:paraId="6FB49CC4" w14:textId="77777777" w:rsidTr="0037496F">
              <w:trPr>
                <w:trHeight w:val="20"/>
                <w:jc w:val="center"/>
              </w:trPr>
              <w:tc>
                <w:tcPr>
                  <w:tcW w:w="959" w:type="dxa"/>
                  <w:vMerge w:val="restart"/>
                  <w:shd w:val="clear" w:color="auto" w:fill="DEEAF6" w:themeFill="accent5" w:themeFillTint="33"/>
                  <w:vAlign w:val="center"/>
                  <w:hideMark/>
                </w:tcPr>
                <w:p w14:paraId="6DA26E93" w14:textId="5F5E49A8" w:rsidR="0037496F" w:rsidRPr="00DD57E3" w:rsidRDefault="0037496F" w:rsidP="0003488E">
                  <w:pPr>
                    <w:spacing w:after="0" w:line="240" w:lineRule="auto"/>
                    <w:rPr>
                      <w:rFonts w:ascii="Times New Roman" w:eastAsia="Times New Roman" w:hAnsi="Times New Roman" w:cs="Times New Roman"/>
                      <w:sz w:val="20"/>
                      <w:szCs w:val="24"/>
                      <w:lang w:val="ro-MD"/>
                    </w:rPr>
                  </w:pPr>
                  <w:r w:rsidRPr="00DD57E3">
                    <w:rPr>
                      <w:rFonts w:ascii="Times New Roman" w:eastAsia="Times New Roman" w:hAnsi="Times New Roman" w:cs="Times New Roman"/>
                      <w:b/>
                      <w:color w:val="000000"/>
                      <w:lang w:val="ro-MD"/>
                    </w:rPr>
                    <w:t>Țară</w:t>
                  </w:r>
                </w:p>
              </w:tc>
              <w:tc>
                <w:tcPr>
                  <w:tcW w:w="859" w:type="dxa"/>
                  <w:vMerge w:val="restart"/>
                  <w:shd w:val="clear" w:color="auto" w:fill="DEEAF6" w:themeFill="accent5" w:themeFillTint="33"/>
                  <w:vAlign w:val="center"/>
                  <w:hideMark/>
                </w:tcPr>
                <w:p w14:paraId="1E5AE7F5" w14:textId="77777777" w:rsidR="0037496F" w:rsidRPr="00DD57E3" w:rsidRDefault="0037496F" w:rsidP="0003488E">
                  <w:pPr>
                    <w:spacing w:after="0" w:line="240" w:lineRule="auto"/>
                    <w:jc w:val="center"/>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 </w:t>
                  </w:r>
                </w:p>
                <w:p w14:paraId="0B78E9FA" w14:textId="20815256" w:rsidR="0037496F" w:rsidRPr="00DD57E3" w:rsidRDefault="0037496F" w:rsidP="0003488E">
                  <w:pPr>
                    <w:spacing w:after="0" w:line="240" w:lineRule="auto"/>
                    <w:rPr>
                      <w:rFonts w:ascii="Times New Roman" w:eastAsia="Times New Roman" w:hAnsi="Times New Roman" w:cs="Times New Roman"/>
                      <w:i/>
                      <w:color w:val="000000"/>
                      <w:lang w:val="ro-MD"/>
                    </w:rPr>
                  </w:pPr>
                  <w:r w:rsidRPr="00DD57E3">
                    <w:rPr>
                      <w:rFonts w:ascii="Times New Roman" w:eastAsia="Times New Roman" w:hAnsi="Times New Roman" w:cs="Times New Roman"/>
                      <w:b/>
                      <w:color w:val="000000"/>
                      <w:lang w:val="ro-MD"/>
                    </w:rPr>
                    <w:t>Factor de scalare calculat</w:t>
                  </w:r>
                </w:p>
              </w:tc>
              <w:tc>
                <w:tcPr>
                  <w:tcW w:w="2804" w:type="dxa"/>
                  <w:gridSpan w:val="3"/>
                  <w:shd w:val="clear" w:color="auto" w:fill="DEEAF6" w:themeFill="accent5" w:themeFillTint="33"/>
                  <w:vAlign w:val="center"/>
                  <w:hideMark/>
                </w:tcPr>
                <w:p w14:paraId="38B4D6F1" w14:textId="77777777" w:rsidR="0037496F" w:rsidRPr="00DD57E3" w:rsidRDefault="0037496F" w:rsidP="0003488E">
                  <w:pPr>
                    <w:spacing w:after="0" w:line="240" w:lineRule="auto"/>
                    <w:jc w:val="center"/>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Țintele pentru a 2 perioada de raportare - Directiva 2009/33/CE</w:t>
                  </w:r>
                </w:p>
              </w:tc>
              <w:tc>
                <w:tcPr>
                  <w:tcW w:w="2711" w:type="dxa"/>
                  <w:gridSpan w:val="3"/>
                  <w:shd w:val="clear" w:color="auto" w:fill="DEEAF6" w:themeFill="accent5" w:themeFillTint="33"/>
                  <w:vAlign w:val="center"/>
                  <w:hideMark/>
                </w:tcPr>
                <w:p w14:paraId="0CA69B18" w14:textId="77777777" w:rsidR="0037496F" w:rsidRPr="00DD57E3" w:rsidRDefault="0037496F" w:rsidP="0003488E">
                  <w:pPr>
                    <w:spacing w:after="0" w:line="240" w:lineRule="auto"/>
                    <w:jc w:val="center"/>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Factor de scalare real</w:t>
                  </w:r>
                </w:p>
              </w:tc>
              <w:tc>
                <w:tcPr>
                  <w:tcW w:w="1847" w:type="dxa"/>
                  <w:gridSpan w:val="2"/>
                  <w:shd w:val="clear" w:color="auto" w:fill="DEEAF6" w:themeFill="accent5" w:themeFillTint="33"/>
                  <w:vAlign w:val="center"/>
                  <w:hideMark/>
                </w:tcPr>
                <w:p w14:paraId="6E989C64" w14:textId="77777777" w:rsidR="0037496F" w:rsidRPr="00DD57E3" w:rsidRDefault="0037496F" w:rsidP="0003488E">
                  <w:pPr>
                    <w:spacing w:after="0" w:line="240" w:lineRule="auto"/>
                    <w:jc w:val="center"/>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Justificarea</w:t>
                  </w:r>
                </w:p>
              </w:tc>
            </w:tr>
            <w:tr w:rsidR="0037496F" w:rsidRPr="00DD57E3" w14:paraId="00446665" w14:textId="77777777" w:rsidTr="0037496F">
              <w:trPr>
                <w:trHeight w:val="20"/>
                <w:jc w:val="center"/>
              </w:trPr>
              <w:tc>
                <w:tcPr>
                  <w:tcW w:w="959" w:type="dxa"/>
                  <w:vMerge/>
                  <w:shd w:val="clear" w:color="auto" w:fill="DEEAF6" w:themeFill="accent5" w:themeFillTint="33"/>
                  <w:vAlign w:val="center"/>
                  <w:hideMark/>
                </w:tcPr>
                <w:p w14:paraId="7EEEEF87" w14:textId="51B591DD" w:rsidR="0037496F" w:rsidRPr="00DD57E3" w:rsidRDefault="0037496F" w:rsidP="0003488E">
                  <w:pPr>
                    <w:spacing w:after="0" w:line="240" w:lineRule="auto"/>
                    <w:rPr>
                      <w:rFonts w:ascii="Times New Roman" w:eastAsia="Times New Roman" w:hAnsi="Times New Roman" w:cs="Times New Roman"/>
                      <w:b/>
                      <w:color w:val="000000"/>
                      <w:lang w:val="ro-MD"/>
                    </w:rPr>
                  </w:pPr>
                </w:p>
              </w:tc>
              <w:tc>
                <w:tcPr>
                  <w:tcW w:w="859" w:type="dxa"/>
                  <w:vMerge/>
                  <w:shd w:val="clear" w:color="auto" w:fill="DEEAF6" w:themeFill="accent5" w:themeFillTint="33"/>
                  <w:vAlign w:val="center"/>
                  <w:hideMark/>
                </w:tcPr>
                <w:p w14:paraId="2F6816A3" w14:textId="77B50DE8" w:rsidR="0037496F" w:rsidRPr="00DD57E3" w:rsidRDefault="0037496F" w:rsidP="0003488E">
                  <w:pPr>
                    <w:spacing w:after="0" w:line="240" w:lineRule="auto"/>
                    <w:rPr>
                      <w:rFonts w:ascii="Times New Roman" w:eastAsia="Times New Roman" w:hAnsi="Times New Roman" w:cs="Times New Roman"/>
                      <w:b/>
                      <w:color w:val="000000"/>
                      <w:lang w:val="ro-MD"/>
                    </w:rPr>
                  </w:pPr>
                </w:p>
              </w:tc>
              <w:tc>
                <w:tcPr>
                  <w:tcW w:w="917" w:type="dxa"/>
                  <w:shd w:val="clear" w:color="auto" w:fill="DEEAF6" w:themeFill="accent5" w:themeFillTint="33"/>
                  <w:vAlign w:val="center"/>
                  <w:hideMark/>
                </w:tcPr>
                <w:p w14:paraId="47394A26" w14:textId="30A3F8B9"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V</w:t>
                  </w:r>
                  <w:r w:rsidR="007573BB" w:rsidRPr="00DD57E3">
                    <w:rPr>
                      <w:rFonts w:ascii="Times New Roman" w:eastAsia="Times New Roman" w:hAnsi="Times New Roman" w:cs="Times New Roman"/>
                      <w:color w:val="000000"/>
                      <w:lang w:val="ro-MD"/>
                    </w:rPr>
                    <w:t>U</w:t>
                  </w:r>
                  <w:r w:rsidRPr="00DD57E3">
                    <w:rPr>
                      <w:rFonts w:ascii="Times New Roman" w:eastAsia="Times New Roman" w:hAnsi="Times New Roman" w:cs="Times New Roman"/>
                      <w:color w:val="000000"/>
                      <w:lang w:val="ro-MD"/>
                    </w:rPr>
                    <w:t xml:space="preserve"> - perioada 2, %</w:t>
                  </w:r>
                </w:p>
              </w:tc>
              <w:tc>
                <w:tcPr>
                  <w:tcW w:w="917" w:type="dxa"/>
                  <w:shd w:val="clear" w:color="auto" w:fill="DEEAF6" w:themeFill="accent5" w:themeFillTint="33"/>
                  <w:vAlign w:val="center"/>
                  <w:hideMark/>
                </w:tcPr>
                <w:p w14:paraId="7BDE72F6" w14:textId="1D899206"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V</w:t>
                  </w:r>
                  <w:r w:rsidR="007573BB" w:rsidRPr="00DD57E3">
                    <w:rPr>
                      <w:rFonts w:ascii="Times New Roman" w:eastAsia="Times New Roman" w:hAnsi="Times New Roman" w:cs="Times New Roman"/>
                      <w:color w:val="000000"/>
                      <w:lang w:val="ro-MD"/>
                    </w:rPr>
                    <w:t>G</w:t>
                  </w:r>
                  <w:r w:rsidRPr="00DD57E3">
                    <w:rPr>
                      <w:rFonts w:ascii="Times New Roman" w:eastAsia="Times New Roman" w:hAnsi="Times New Roman" w:cs="Times New Roman"/>
                      <w:color w:val="000000"/>
                      <w:lang w:val="ro-MD"/>
                    </w:rPr>
                    <w:t xml:space="preserve"> - perioada 2, %</w:t>
                  </w:r>
                </w:p>
              </w:tc>
              <w:tc>
                <w:tcPr>
                  <w:tcW w:w="970" w:type="dxa"/>
                  <w:shd w:val="clear" w:color="auto" w:fill="DEEAF6" w:themeFill="accent5" w:themeFillTint="33"/>
                  <w:vAlign w:val="center"/>
                  <w:hideMark/>
                </w:tcPr>
                <w:p w14:paraId="1FED3B6F" w14:textId="41B3A83A" w:rsidR="0037496F" w:rsidRPr="00DD57E3" w:rsidRDefault="007573BB"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xml:space="preserve">BUS </w:t>
                  </w:r>
                  <w:r w:rsidR="0037496F" w:rsidRPr="00DD57E3">
                    <w:rPr>
                      <w:rFonts w:ascii="Times New Roman" w:eastAsia="Times New Roman" w:hAnsi="Times New Roman" w:cs="Times New Roman"/>
                      <w:color w:val="000000"/>
                      <w:lang w:val="ro-MD"/>
                    </w:rPr>
                    <w:t>- perioada 2, %</w:t>
                  </w:r>
                </w:p>
              </w:tc>
              <w:tc>
                <w:tcPr>
                  <w:tcW w:w="895" w:type="dxa"/>
                  <w:shd w:val="clear" w:color="auto" w:fill="DEEAF6" w:themeFill="accent5" w:themeFillTint="33"/>
                  <w:vAlign w:val="center"/>
                  <w:hideMark/>
                </w:tcPr>
                <w:p w14:paraId="6B0DD2BC" w14:textId="24498DD1"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FS V</w:t>
                  </w:r>
                  <w:r w:rsidR="007573BB" w:rsidRPr="00DD57E3">
                    <w:rPr>
                      <w:rFonts w:ascii="Times New Roman" w:eastAsia="Times New Roman" w:hAnsi="Times New Roman" w:cs="Times New Roman"/>
                      <w:color w:val="000000"/>
                      <w:lang w:val="ro-MD"/>
                    </w:rPr>
                    <w:t>U</w:t>
                  </w:r>
                  <w:r w:rsidRPr="00DD57E3">
                    <w:rPr>
                      <w:rFonts w:ascii="Times New Roman" w:eastAsia="Times New Roman" w:hAnsi="Times New Roman" w:cs="Times New Roman"/>
                      <w:color w:val="000000"/>
                      <w:lang w:val="ro-MD"/>
                    </w:rPr>
                    <w:t xml:space="preserve"> 2</w:t>
                  </w:r>
                </w:p>
              </w:tc>
              <w:tc>
                <w:tcPr>
                  <w:tcW w:w="897" w:type="dxa"/>
                  <w:shd w:val="clear" w:color="auto" w:fill="DEEAF6" w:themeFill="accent5" w:themeFillTint="33"/>
                  <w:vAlign w:val="center"/>
                  <w:hideMark/>
                </w:tcPr>
                <w:p w14:paraId="0C5A6618" w14:textId="34D24F1D"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FS V</w:t>
                  </w:r>
                  <w:r w:rsidR="007573BB" w:rsidRPr="00DD57E3">
                    <w:rPr>
                      <w:rFonts w:ascii="Times New Roman" w:eastAsia="Times New Roman" w:hAnsi="Times New Roman" w:cs="Times New Roman"/>
                      <w:color w:val="000000"/>
                      <w:lang w:val="ro-MD"/>
                    </w:rPr>
                    <w:t>G</w:t>
                  </w:r>
                  <w:r w:rsidRPr="00DD57E3">
                    <w:rPr>
                      <w:rFonts w:ascii="Times New Roman" w:eastAsia="Times New Roman" w:hAnsi="Times New Roman" w:cs="Times New Roman"/>
                      <w:color w:val="000000"/>
                      <w:lang w:val="ro-MD"/>
                    </w:rPr>
                    <w:t xml:space="preserve"> 2</w:t>
                  </w:r>
                </w:p>
              </w:tc>
              <w:tc>
                <w:tcPr>
                  <w:tcW w:w="919" w:type="dxa"/>
                  <w:shd w:val="clear" w:color="auto" w:fill="DEEAF6" w:themeFill="accent5" w:themeFillTint="33"/>
                  <w:vAlign w:val="center"/>
                  <w:hideMark/>
                </w:tcPr>
                <w:p w14:paraId="030B5A80" w14:textId="0331CA41"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xml:space="preserve">FS </w:t>
                  </w:r>
                  <w:r w:rsidR="007573BB" w:rsidRPr="00DD57E3">
                    <w:rPr>
                      <w:rFonts w:ascii="Times New Roman" w:eastAsia="Times New Roman" w:hAnsi="Times New Roman" w:cs="Times New Roman"/>
                      <w:color w:val="000000"/>
                      <w:lang w:val="ro-MD"/>
                    </w:rPr>
                    <w:t xml:space="preserve">BUS </w:t>
                  </w:r>
                  <w:r w:rsidRPr="00DD57E3">
                    <w:rPr>
                      <w:rFonts w:ascii="Times New Roman" w:eastAsia="Times New Roman" w:hAnsi="Times New Roman" w:cs="Times New Roman"/>
                      <w:color w:val="000000"/>
                      <w:lang w:val="ro-MD"/>
                    </w:rPr>
                    <w:t>2</w:t>
                  </w:r>
                </w:p>
              </w:tc>
              <w:tc>
                <w:tcPr>
                  <w:tcW w:w="902" w:type="dxa"/>
                  <w:shd w:val="clear" w:color="auto" w:fill="DEEAF6" w:themeFill="accent5" w:themeFillTint="33"/>
                  <w:vAlign w:val="center"/>
                  <w:hideMark/>
                </w:tcPr>
                <w:p w14:paraId="659B8151" w14:textId="77777777"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FS mediu</w:t>
                  </w:r>
                </w:p>
              </w:tc>
              <w:tc>
                <w:tcPr>
                  <w:tcW w:w="945" w:type="dxa"/>
                  <w:shd w:val="clear" w:color="000000" w:fill="DDEBF7"/>
                  <w:vAlign w:val="center"/>
                  <w:hideMark/>
                </w:tcPr>
                <w:p w14:paraId="19BCEFB3" w14:textId="77777777" w:rsidR="0037496F" w:rsidRPr="00DD57E3" w:rsidRDefault="0037496F"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Diferența dintre FS real și calculat</w:t>
                  </w:r>
                </w:p>
              </w:tc>
            </w:tr>
            <w:tr w:rsidR="0003488E" w:rsidRPr="00DD57E3" w14:paraId="13A426CC" w14:textId="77777777" w:rsidTr="0037496F">
              <w:trPr>
                <w:trHeight w:val="20"/>
                <w:jc w:val="center"/>
              </w:trPr>
              <w:tc>
                <w:tcPr>
                  <w:tcW w:w="959" w:type="dxa"/>
                  <w:shd w:val="clear" w:color="auto" w:fill="auto"/>
                  <w:vAlign w:val="center"/>
                  <w:hideMark/>
                </w:tcPr>
                <w:p w14:paraId="5B18E54A"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Suedia</w:t>
                  </w:r>
                </w:p>
              </w:tc>
              <w:tc>
                <w:tcPr>
                  <w:tcW w:w="859" w:type="dxa"/>
                  <w:shd w:val="clear" w:color="auto" w:fill="auto"/>
                  <w:vAlign w:val="center"/>
                  <w:hideMark/>
                </w:tcPr>
                <w:p w14:paraId="6521355A"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917" w:type="dxa"/>
                  <w:shd w:val="clear" w:color="auto" w:fill="auto"/>
                  <w:vAlign w:val="center"/>
                  <w:hideMark/>
                </w:tcPr>
                <w:p w14:paraId="4608B462"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38.5</w:t>
                  </w:r>
                </w:p>
              </w:tc>
              <w:tc>
                <w:tcPr>
                  <w:tcW w:w="917" w:type="dxa"/>
                  <w:shd w:val="clear" w:color="auto" w:fill="auto"/>
                  <w:vAlign w:val="center"/>
                  <w:hideMark/>
                </w:tcPr>
                <w:p w14:paraId="56FCE2A6"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15</w:t>
                  </w:r>
                </w:p>
              </w:tc>
              <w:tc>
                <w:tcPr>
                  <w:tcW w:w="970" w:type="dxa"/>
                  <w:shd w:val="clear" w:color="auto" w:fill="auto"/>
                  <w:vAlign w:val="center"/>
                  <w:hideMark/>
                </w:tcPr>
                <w:p w14:paraId="3E8FEC59"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65</w:t>
                  </w:r>
                </w:p>
              </w:tc>
              <w:tc>
                <w:tcPr>
                  <w:tcW w:w="895" w:type="dxa"/>
                  <w:shd w:val="clear" w:color="auto" w:fill="auto"/>
                  <w:vAlign w:val="center"/>
                  <w:hideMark/>
                </w:tcPr>
                <w:p w14:paraId="326AD758"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897" w:type="dxa"/>
                  <w:shd w:val="clear" w:color="auto" w:fill="auto"/>
                  <w:vAlign w:val="center"/>
                  <w:hideMark/>
                </w:tcPr>
                <w:p w14:paraId="47D4099C"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919" w:type="dxa"/>
                  <w:shd w:val="clear" w:color="auto" w:fill="auto"/>
                  <w:vAlign w:val="center"/>
                  <w:hideMark/>
                </w:tcPr>
                <w:p w14:paraId="2C8179D1"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902" w:type="dxa"/>
                  <w:shd w:val="clear" w:color="auto" w:fill="auto"/>
                  <w:vAlign w:val="center"/>
                  <w:hideMark/>
                </w:tcPr>
                <w:p w14:paraId="7E2B2016"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945" w:type="dxa"/>
                  <w:shd w:val="clear" w:color="auto" w:fill="auto"/>
                  <w:vAlign w:val="center"/>
                  <w:hideMark/>
                </w:tcPr>
                <w:p w14:paraId="577AF20A"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0.00</w:t>
                  </w:r>
                </w:p>
              </w:tc>
            </w:tr>
            <w:tr w:rsidR="0003488E" w:rsidRPr="00DD57E3" w14:paraId="65D17138" w14:textId="77777777" w:rsidTr="0037496F">
              <w:trPr>
                <w:trHeight w:val="20"/>
                <w:jc w:val="center"/>
              </w:trPr>
              <w:tc>
                <w:tcPr>
                  <w:tcW w:w="959" w:type="dxa"/>
                  <w:shd w:val="clear" w:color="auto" w:fill="auto"/>
                  <w:vAlign w:val="center"/>
                  <w:hideMark/>
                </w:tcPr>
                <w:p w14:paraId="127E0D7A"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Romania</w:t>
                  </w:r>
                </w:p>
              </w:tc>
              <w:tc>
                <w:tcPr>
                  <w:tcW w:w="859" w:type="dxa"/>
                  <w:shd w:val="clear" w:color="auto" w:fill="auto"/>
                  <w:vAlign w:val="center"/>
                  <w:hideMark/>
                </w:tcPr>
                <w:p w14:paraId="08D7C249"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0.55</w:t>
                  </w:r>
                </w:p>
              </w:tc>
              <w:tc>
                <w:tcPr>
                  <w:tcW w:w="917" w:type="dxa"/>
                  <w:shd w:val="clear" w:color="auto" w:fill="auto"/>
                  <w:vAlign w:val="center"/>
                  <w:hideMark/>
                </w:tcPr>
                <w:p w14:paraId="58453080"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18.7</w:t>
                  </w:r>
                </w:p>
              </w:tc>
              <w:tc>
                <w:tcPr>
                  <w:tcW w:w="917" w:type="dxa"/>
                  <w:shd w:val="clear" w:color="auto" w:fill="auto"/>
                  <w:vAlign w:val="center"/>
                  <w:hideMark/>
                </w:tcPr>
                <w:p w14:paraId="7162915D"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7</w:t>
                  </w:r>
                </w:p>
              </w:tc>
              <w:tc>
                <w:tcPr>
                  <w:tcW w:w="970" w:type="dxa"/>
                  <w:shd w:val="clear" w:color="auto" w:fill="auto"/>
                  <w:vAlign w:val="center"/>
                  <w:hideMark/>
                </w:tcPr>
                <w:p w14:paraId="6D6F881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33</w:t>
                  </w:r>
                </w:p>
              </w:tc>
              <w:tc>
                <w:tcPr>
                  <w:tcW w:w="895" w:type="dxa"/>
                  <w:shd w:val="clear" w:color="auto" w:fill="auto"/>
                  <w:vAlign w:val="center"/>
                  <w:hideMark/>
                </w:tcPr>
                <w:p w14:paraId="6AC46BA9"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0.49</w:t>
                  </w:r>
                </w:p>
              </w:tc>
              <w:tc>
                <w:tcPr>
                  <w:tcW w:w="897" w:type="dxa"/>
                  <w:shd w:val="clear" w:color="auto" w:fill="auto"/>
                  <w:vAlign w:val="center"/>
                  <w:hideMark/>
                </w:tcPr>
                <w:p w14:paraId="0C63311A"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0.47</w:t>
                  </w:r>
                </w:p>
              </w:tc>
              <w:tc>
                <w:tcPr>
                  <w:tcW w:w="919" w:type="dxa"/>
                  <w:shd w:val="clear" w:color="auto" w:fill="auto"/>
                  <w:vAlign w:val="center"/>
                  <w:hideMark/>
                </w:tcPr>
                <w:p w14:paraId="545F6BEA"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0.51</w:t>
                  </w:r>
                </w:p>
              </w:tc>
              <w:tc>
                <w:tcPr>
                  <w:tcW w:w="902" w:type="dxa"/>
                  <w:shd w:val="clear" w:color="auto" w:fill="auto"/>
                  <w:vAlign w:val="center"/>
                  <w:hideMark/>
                </w:tcPr>
                <w:p w14:paraId="6BBBD60F"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0.49</w:t>
                  </w:r>
                </w:p>
              </w:tc>
              <w:tc>
                <w:tcPr>
                  <w:tcW w:w="945" w:type="dxa"/>
                  <w:shd w:val="clear" w:color="auto" w:fill="auto"/>
                  <w:vAlign w:val="center"/>
                  <w:hideMark/>
                </w:tcPr>
                <w:p w14:paraId="200FE66D"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-0.06</w:t>
                  </w:r>
                </w:p>
              </w:tc>
            </w:tr>
            <w:tr w:rsidR="0003488E" w:rsidRPr="00DD57E3" w14:paraId="558C728A" w14:textId="77777777" w:rsidTr="0037496F">
              <w:trPr>
                <w:trHeight w:val="20"/>
                <w:jc w:val="center"/>
              </w:trPr>
              <w:tc>
                <w:tcPr>
                  <w:tcW w:w="959" w:type="dxa"/>
                  <w:shd w:val="clear" w:color="auto" w:fill="auto"/>
                  <w:vAlign w:val="center"/>
                  <w:hideMark/>
                </w:tcPr>
                <w:p w14:paraId="49FEA5C2"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Cehia</w:t>
                  </w:r>
                </w:p>
              </w:tc>
              <w:tc>
                <w:tcPr>
                  <w:tcW w:w="859" w:type="dxa"/>
                  <w:shd w:val="clear" w:color="auto" w:fill="auto"/>
                  <w:vAlign w:val="center"/>
                  <w:hideMark/>
                </w:tcPr>
                <w:p w14:paraId="4929F2E5"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0.84</w:t>
                  </w:r>
                </w:p>
              </w:tc>
              <w:tc>
                <w:tcPr>
                  <w:tcW w:w="917" w:type="dxa"/>
                  <w:shd w:val="clear" w:color="auto" w:fill="auto"/>
                  <w:vAlign w:val="center"/>
                  <w:hideMark/>
                </w:tcPr>
                <w:p w14:paraId="695818D9"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29.7</w:t>
                  </w:r>
                </w:p>
              </w:tc>
              <w:tc>
                <w:tcPr>
                  <w:tcW w:w="917" w:type="dxa"/>
                  <w:shd w:val="clear" w:color="auto" w:fill="auto"/>
                  <w:vAlign w:val="center"/>
                  <w:hideMark/>
                </w:tcPr>
                <w:p w14:paraId="73BE3EFB"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11</w:t>
                  </w:r>
                </w:p>
              </w:tc>
              <w:tc>
                <w:tcPr>
                  <w:tcW w:w="970" w:type="dxa"/>
                  <w:shd w:val="clear" w:color="auto" w:fill="auto"/>
                  <w:vAlign w:val="center"/>
                  <w:hideMark/>
                </w:tcPr>
                <w:p w14:paraId="6483109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60</w:t>
                  </w:r>
                </w:p>
              </w:tc>
              <w:tc>
                <w:tcPr>
                  <w:tcW w:w="895" w:type="dxa"/>
                  <w:shd w:val="clear" w:color="auto" w:fill="auto"/>
                  <w:vAlign w:val="center"/>
                  <w:hideMark/>
                </w:tcPr>
                <w:p w14:paraId="131FDF1A"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0.77</w:t>
                  </w:r>
                </w:p>
              </w:tc>
              <w:tc>
                <w:tcPr>
                  <w:tcW w:w="897" w:type="dxa"/>
                  <w:shd w:val="clear" w:color="auto" w:fill="auto"/>
                  <w:vAlign w:val="center"/>
                  <w:hideMark/>
                </w:tcPr>
                <w:p w14:paraId="48BE9A0C"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0.73</w:t>
                  </w:r>
                </w:p>
              </w:tc>
              <w:tc>
                <w:tcPr>
                  <w:tcW w:w="919" w:type="dxa"/>
                  <w:shd w:val="clear" w:color="auto" w:fill="auto"/>
                  <w:vAlign w:val="center"/>
                  <w:hideMark/>
                </w:tcPr>
                <w:p w14:paraId="5328A1A3"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0.92</w:t>
                  </w:r>
                </w:p>
              </w:tc>
              <w:tc>
                <w:tcPr>
                  <w:tcW w:w="902" w:type="dxa"/>
                  <w:shd w:val="clear" w:color="auto" w:fill="auto"/>
                  <w:vAlign w:val="center"/>
                  <w:hideMark/>
                </w:tcPr>
                <w:p w14:paraId="58CDDDE7"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0.81</w:t>
                  </w:r>
                </w:p>
              </w:tc>
              <w:tc>
                <w:tcPr>
                  <w:tcW w:w="945" w:type="dxa"/>
                  <w:shd w:val="clear" w:color="auto" w:fill="auto"/>
                  <w:vAlign w:val="center"/>
                  <w:hideMark/>
                </w:tcPr>
                <w:p w14:paraId="6CC6D223"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-0.03</w:t>
                  </w:r>
                </w:p>
              </w:tc>
            </w:tr>
            <w:tr w:rsidR="0003488E" w:rsidRPr="00DD57E3" w14:paraId="704B4D04" w14:textId="77777777" w:rsidTr="0037496F">
              <w:trPr>
                <w:trHeight w:val="20"/>
                <w:jc w:val="center"/>
              </w:trPr>
              <w:tc>
                <w:tcPr>
                  <w:tcW w:w="959" w:type="dxa"/>
                  <w:shd w:val="clear" w:color="auto" w:fill="auto"/>
                  <w:vAlign w:val="center"/>
                  <w:hideMark/>
                </w:tcPr>
                <w:p w14:paraId="04BF15FB"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Estonia</w:t>
                  </w:r>
                </w:p>
              </w:tc>
              <w:tc>
                <w:tcPr>
                  <w:tcW w:w="859" w:type="dxa"/>
                  <w:shd w:val="clear" w:color="auto" w:fill="auto"/>
                  <w:vAlign w:val="center"/>
                  <w:hideMark/>
                </w:tcPr>
                <w:p w14:paraId="31BAFE2C"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0.80</w:t>
                  </w:r>
                </w:p>
              </w:tc>
              <w:tc>
                <w:tcPr>
                  <w:tcW w:w="917" w:type="dxa"/>
                  <w:shd w:val="clear" w:color="auto" w:fill="auto"/>
                  <w:vAlign w:val="center"/>
                  <w:hideMark/>
                </w:tcPr>
                <w:p w14:paraId="6DB5BC77"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23.1</w:t>
                  </w:r>
                </w:p>
              </w:tc>
              <w:tc>
                <w:tcPr>
                  <w:tcW w:w="917" w:type="dxa"/>
                  <w:shd w:val="clear" w:color="auto" w:fill="auto"/>
                  <w:vAlign w:val="center"/>
                  <w:hideMark/>
                </w:tcPr>
                <w:p w14:paraId="700C234E"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9</w:t>
                  </w:r>
                </w:p>
              </w:tc>
              <w:tc>
                <w:tcPr>
                  <w:tcW w:w="970" w:type="dxa"/>
                  <w:shd w:val="clear" w:color="auto" w:fill="auto"/>
                  <w:vAlign w:val="center"/>
                  <w:hideMark/>
                </w:tcPr>
                <w:p w14:paraId="1CB34DC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43</w:t>
                  </w:r>
                </w:p>
              </w:tc>
              <w:tc>
                <w:tcPr>
                  <w:tcW w:w="895" w:type="dxa"/>
                  <w:shd w:val="clear" w:color="auto" w:fill="auto"/>
                  <w:vAlign w:val="center"/>
                  <w:hideMark/>
                </w:tcPr>
                <w:p w14:paraId="25BB175F"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0.60</w:t>
                  </w:r>
                </w:p>
              </w:tc>
              <w:tc>
                <w:tcPr>
                  <w:tcW w:w="897" w:type="dxa"/>
                  <w:shd w:val="clear" w:color="auto" w:fill="auto"/>
                  <w:vAlign w:val="center"/>
                  <w:hideMark/>
                </w:tcPr>
                <w:p w14:paraId="157C4FB6"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0.60</w:t>
                  </w:r>
                </w:p>
              </w:tc>
              <w:tc>
                <w:tcPr>
                  <w:tcW w:w="919" w:type="dxa"/>
                  <w:shd w:val="clear" w:color="auto" w:fill="auto"/>
                  <w:vAlign w:val="center"/>
                  <w:hideMark/>
                </w:tcPr>
                <w:p w14:paraId="5D0AB56F"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0.66</w:t>
                  </w:r>
                </w:p>
              </w:tc>
              <w:tc>
                <w:tcPr>
                  <w:tcW w:w="902" w:type="dxa"/>
                  <w:shd w:val="clear" w:color="auto" w:fill="auto"/>
                  <w:vAlign w:val="center"/>
                  <w:hideMark/>
                </w:tcPr>
                <w:p w14:paraId="7EDF45A0"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0.62</w:t>
                  </w:r>
                </w:p>
              </w:tc>
              <w:tc>
                <w:tcPr>
                  <w:tcW w:w="945" w:type="dxa"/>
                  <w:shd w:val="clear" w:color="auto" w:fill="auto"/>
                  <w:vAlign w:val="center"/>
                  <w:hideMark/>
                </w:tcPr>
                <w:p w14:paraId="567F1751" w14:textId="77777777" w:rsidR="0003488E" w:rsidRPr="00DD57E3" w:rsidRDefault="0003488E" w:rsidP="0003488E">
                  <w:pPr>
                    <w:spacing w:after="0" w:line="240" w:lineRule="auto"/>
                    <w:jc w:val="right"/>
                    <w:rPr>
                      <w:rFonts w:ascii="Times New Roman" w:eastAsia="Times New Roman" w:hAnsi="Times New Roman" w:cs="Times New Roman"/>
                      <w:color w:val="FF0000"/>
                      <w:lang w:val="ro-MD"/>
                    </w:rPr>
                  </w:pPr>
                  <w:r w:rsidRPr="00DD57E3">
                    <w:rPr>
                      <w:rFonts w:ascii="Times New Roman" w:eastAsia="Times New Roman" w:hAnsi="Times New Roman" w:cs="Times New Roman"/>
                      <w:color w:val="FF0000"/>
                      <w:lang w:val="ro-MD"/>
                    </w:rPr>
                    <w:t>-0.18</w:t>
                  </w:r>
                </w:p>
              </w:tc>
            </w:tr>
            <w:tr w:rsidR="0003488E" w:rsidRPr="00DD57E3" w14:paraId="140AA721" w14:textId="77777777" w:rsidTr="0037496F">
              <w:trPr>
                <w:trHeight w:val="20"/>
                <w:jc w:val="center"/>
              </w:trPr>
              <w:tc>
                <w:tcPr>
                  <w:tcW w:w="959" w:type="dxa"/>
                  <w:shd w:val="clear" w:color="auto" w:fill="auto"/>
                  <w:vAlign w:val="center"/>
                  <w:hideMark/>
                </w:tcPr>
                <w:p w14:paraId="0EA28435"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Letonia</w:t>
                  </w:r>
                </w:p>
              </w:tc>
              <w:tc>
                <w:tcPr>
                  <w:tcW w:w="859" w:type="dxa"/>
                  <w:shd w:val="clear" w:color="auto" w:fill="auto"/>
                  <w:vAlign w:val="center"/>
                  <w:hideMark/>
                </w:tcPr>
                <w:p w14:paraId="0BB69E9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0.70</w:t>
                  </w:r>
                </w:p>
              </w:tc>
              <w:tc>
                <w:tcPr>
                  <w:tcW w:w="917" w:type="dxa"/>
                  <w:shd w:val="clear" w:color="auto" w:fill="auto"/>
                  <w:vAlign w:val="center"/>
                  <w:hideMark/>
                </w:tcPr>
                <w:p w14:paraId="77EE458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22</w:t>
                  </w:r>
                </w:p>
              </w:tc>
              <w:tc>
                <w:tcPr>
                  <w:tcW w:w="917" w:type="dxa"/>
                  <w:shd w:val="clear" w:color="auto" w:fill="auto"/>
                  <w:vAlign w:val="center"/>
                  <w:hideMark/>
                </w:tcPr>
                <w:p w14:paraId="0AEDCA2C"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9</w:t>
                  </w:r>
                </w:p>
              </w:tc>
              <w:tc>
                <w:tcPr>
                  <w:tcW w:w="970" w:type="dxa"/>
                  <w:shd w:val="clear" w:color="auto" w:fill="auto"/>
                  <w:vAlign w:val="center"/>
                  <w:hideMark/>
                </w:tcPr>
                <w:p w14:paraId="5F71BF24"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50</w:t>
                  </w:r>
                </w:p>
              </w:tc>
              <w:tc>
                <w:tcPr>
                  <w:tcW w:w="895" w:type="dxa"/>
                  <w:shd w:val="clear" w:color="auto" w:fill="auto"/>
                  <w:vAlign w:val="center"/>
                  <w:hideMark/>
                </w:tcPr>
                <w:p w14:paraId="29BEBB05"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0.57</w:t>
                  </w:r>
                </w:p>
              </w:tc>
              <w:tc>
                <w:tcPr>
                  <w:tcW w:w="897" w:type="dxa"/>
                  <w:shd w:val="clear" w:color="auto" w:fill="auto"/>
                  <w:vAlign w:val="center"/>
                  <w:hideMark/>
                </w:tcPr>
                <w:p w14:paraId="15197AB9"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0.60</w:t>
                  </w:r>
                </w:p>
              </w:tc>
              <w:tc>
                <w:tcPr>
                  <w:tcW w:w="919" w:type="dxa"/>
                  <w:shd w:val="clear" w:color="auto" w:fill="auto"/>
                  <w:vAlign w:val="center"/>
                  <w:hideMark/>
                </w:tcPr>
                <w:p w14:paraId="0D85BEC3"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0.77</w:t>
                  </w:r>
                </w:p>
              </w:tc>
              <w:tc>
                <w:tcPr>
                  <w:tcW w:w="902" w:type="dxa"/>
                  <w:shd w:val="clear" w:color="auto" w:fill="auto"/>
                  <w:vAlign w:val="center"/>
                  <w:hideMark/>
                </w:tcPr>
                <w:p w14:paraId="5EF3F11D"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0.65</w:t>
                  </w:r>
                </w:p>
              </w:tc>
              <w:tc>
                <w:tcPr>
                  <w:tcW w:w="945" w:type="dxa"/>
                  <w:shd w:val="clear" w:color="auto" w:fill="auto"/>
                  <w:vAlign w:val="center"/>
                  <w:hideMark/>
                </w:tcPr>
                <w:p w14:paraId="4F75E12B"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-0.05</w:t>
                  </w:r>
                </w:p>
              </w:tc>
            </w:tr>
            <w:tr w:rsidR="0003488E" w:rsidRPr="00DD57E3" w14:paraId="58E9A2A9" w14:textId="77777777" w:rsidTr="0037496F">
              <w:trPr>
                <w:trHeight w:val="20"/>
                <w:jc w:val="center"/>
              </w:trPr>
              <w:tc>
                <w:tcPr>
                  <w:tcW w:w="959" w:type="dxa"/>
                  <w:shd w:val="clear" w:color="auto" w:fill="auto"/>
                  <w:vAlign w:val="center"/>
                  <w:hideMark/>
                </w:tcPr>
                <w:p w14:paraId="163E3BF1"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UE medie</w:t>
                  </w:r>
                </w:p>
              </w:tc>
              <w:tc>
                <w:tcPr>
                  <w:tcW w:w="859" w:type="dxa"/>
                  <w:shd w:val="clear" w:color="auto" w:fill="auto"/>
                  <w:vAlign w:val="center"/>
                  <w:hideMark/>
                </w:tcPr>
                <w:p w14:paraId="6C8E43EC"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1.00</w:t>
                  </w:r>
                </w:p>
              </w:tc>
              <w:tc>
                <w:tcPr>
                  <w:tcW w:w="917" w:type="dxa"/>
                  <w:shd w:val="clear" w:color="000000" w:fill="D9D9D9"/>
                  <w:vAlign w:val="center"/>
                  <w:hideMark/>
                </w:tcPr>
                <w:p w14:paraId="28D0977E"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17" w:type="dxa"/>
                  <w:shd w:val="clear" w:color="000000" w:fill="D9D9D9"/>
                  <w:vAlign w:val="center"/>
                  <w:hideMark/>
                </w:tcPr>
                <w:p w14:paraId="65507FD5"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70" w:type="dxa"/>
                  <w:shd w:val="clear" w:color="000000" w:fill="D9D9D9"/>
                  <w:vAlign w:val="center"/>
                  <w:hideMark/>
                </w:tcPr>
                <w:p w14:paraId="5C44FE05"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895" w:type="dxa"/>
                  <w:shd w:val="clear" w:color="000000" w:fill="D9D9D9"/>
                  <w:vAlign w:val="center"/>
                  <w:hideMark/>
                </w:tcPr>
                <w:p w14:paraId="5DD1F861"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897" w:type="dxa"/>
                  <w:shd w:val="clear" w:color="000000" w:fill="D9D9D9"/>
                  <w:vAlign w:val="center"/>
                  <w:hideMark/>
                </w:tcPr>
                <w:p w14:paraId="5B329706"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19" w:type="dxa"/>
                  <w:shd w:val="clear" w:color="000000" w:fill="D9D9D9"/>
                  <w:vAlign w:val="center"/>
                  <w:hideMark/>
                </w:tcPr>
                <w:p w14:paraId="3ED8AFB3"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02" w:type="dxa"/>
                  <w:shd w:val="clear" w:color="000000" w:fill="D9D9D9"/>
                  <w:vAlign w:val="center"/>
                  <w:hideMark/>
                </w:tcPr>
                <w:p w14:paraId="19D93CCC"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45" w:type="dxa"/>
                  <w:shd w:val="clear" w:color="000000" w:fill="D9D9D9"/>
                  <w:vAlign w:val="center"/>
                  <w:hideMark/>
                </w:tcPr>
                <w:p w14:paraId="3DFE1EA0"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r>
            <w:tr w:rsidR="0003488E" w:rsidRPr="00DD57E3" w14:paraId="0A44BE1F" w14:textId="77777777" w:rsidTr="00DD57E3">
              <w:trPr>
                <w:trHeight w:val="20"/>
                <w:jc w:val="center"/>
              </w:trPr>
              <w:tc>
                <w:tcPr>
                  <w:tcW w:w="959" w:type="dxa"/>
                  <w:shd w:val="clear" w:color="auto" w:fill="auto"/>
                  <w:vAlign w:val="center"/>
                  <w:hideMark/>
                </w:tcPr>
                <w:p w14:paraId="161212A0" w14:textId="77777777" w:rsidR="0003488E" w:rsidRPr="00DD57E3" w:rsidRDefault="0003488E" w:rsidP="0003488E">
                  <w:pPr>
                    <w:spacing w:after="0" w:line="240" w:lineRule="auto"/>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Moldova</w:t>
                  </w:r>
                </w:p>
              </w:tc>
              <w:tc>
                <w:tcPr>
                  <w:tcW w:w="859" w:type="dxa"/>
                  <w:shd w:val="clear" w:color="auto" w:fill="auto"/>
                  <w:vAlign w:val="center"/>
                  <w:hideMark/>
                </w:tcPr>
                <w:p w14:paraId="4E6146D0" w14:textId="77777777" w:rsidR="0003488E" w:rsidRPr="00DD57E3" w:rsidRDefault="0003488E" w:rsidP="0003488E">
                  <w:pPr>
                    <w:spacing w:after="0" w:line="240" w:lineRule="auto"/>
                    <w:jc w:val="right"/>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0.35</w:t>
                  </w:r>
                </w:p>
              </w:tc>
              <w:tc>
                <w:tcPr>
                  <w:tcW w:w="917" w:type="dxa"/>
                  <w:shd w:val="clear" w:color="auto" w:fill="auto"/>
                  <w:vAlign w:val="center"/>
                  <w:hideMark/>
                </w:tcPr>
                <w:p w14:paraId="04E6665E"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13.5</w:t>
                  </w:r>
                </w:p>
              </w:tc>
              <w:tc>
                <w:tcPr>
                  <w:tcW w:w="917" w:type="dxa"/>
                  <w:shd w:val="clear" w:color="auto" w:fill="auto"/>
                  <w:vAlign w:val="center"/>
                  <w:hideMark/>
                </w:tcPr>
                <w:p w14:paraId="15F1DE98"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5.0</w:t>
                  </w:r>
                </w:p>
              </w:tc>
              <w:tc>
                <w:tcPr>
                  <w:tcW w:w="970" w:type="dxa"/>
                  <w:shd w:val="clear" w:color="auto" w:fill="auto"/>
                  <w:vAlign w:val="center"/>
                  <w:hideMark/>
                </w:tcPr>
                <w:p w14:paraId="7AF53AC4"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23.0</w:t>
                  </w:r>
                </w:p>
              </w:tc>
              <w:tc>
                <w:tcPr>
                  <w:tcW w:w="895" w:type="dxa"/>
                  <w:shd w:val="clear" w:color="000000" w:fill="DBDBDB"/>
                  <w:vAlign w:val="center"/>
                  <w:hideMark/>
                </w:tcPr>
                <w:p w14:paraId="2CDC7155"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897" w:type="dxa"/>
                  <w:shd w:val="clear" w:color="000000" w:fill="DBDBDB"/>
                  <w:vAlign w:val="center"/>
                  <w:hideMark/>
                </w:tcPr>
                <w:p w14:paraId="1FF494BC"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19" w:type="dxa"/>
                  <w:shd w:val="clear" w:color="000000" w:fill="DBDBDB"/>
                  <w:vAlign w:val="center"/>
                  <w:hideMark/>
                </w:tcPr>
                <w:p w14:paraId="04FAB562"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02" w:type="dxa"/>
                  <w:shd w:val="clear" w:color="000000" w:fill="DBDBDB"/>
                  <w:vAlign w:val="center"/>
                  <w:hideMark/>
                </w:tcPr>
                <w:p w14:paraId="210D3636"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45" w:type="dxa"/>
                  <w:shd w:val="clear" w:color="000000" w:fill="DBDBDB"/>
                  <w:vAlign w:val="center"/>
                  <w:hideMark/>
                </w:tcPr>
                <w:p w14:paraId="12E585A5"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r>
            <w:tr w:rsidR="0003488E" w:rsidRPr="00DD57E3" w14:paraId="5E95548B" w14:textId="77777777" w:rsidTr="0037496F">
              <w:trPr>
                <w:trHeight w:val="20"/>
                <w:jc w:val="center"/>
              </w:trPr>
              <w:tc>
                <w:tcPr>
                  <w:tcW w:w="959" w:type="dxa"/>
                  <w:shd w:val="clear" w:color="auto" w:fill="auto"/>
                  <w:vAlign w:val="center"/>
                  <w:hideMark/>
                </w:tcPr>
                <w:p w14:paraId="0A3E6110" w14:textId="77777777" w:rsidR="0003488E" w:rsidRPr="00DD57E3" w:rsidRDefault="0003488E" w:rsidP="0003488E">
                  <w:pPr>
                    <w:spacing w:after="0" w:line="240" w:lineRule="auto"/>
                    <w:rPr>
                      <w:rFonts w:ascii="Times New Roman" w:eastAsia="Times New Roman" w:hAnsi="Times New Roman" w:cs="Times New Roman"/>
                      <w:color w:val="000000"/>
                      <w:lang w:val="ro-MD"/>
                    </w:rPr>
                  </w:pPr>
                </w:p>
              </w:tc>
              <w:tc>
                <w:tcPr>
                  <w:tcW w:w="859" w:type="dxa"/>
                  <w:shd w:val="clear" w:color="auto" w:fill="auto"/>
                  <w:vAlign w:val="center"/>
                  <w:hideMark/>
                </w:tcPr>
                <w:p w14:paraId="161E6653"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17" w:type="dxa"/>
                  <w:shd w:val="clear" w:color="auto" w:fill="auto"/>
                  <w:vAlign w:val="center"/>
                  <w:hideMark/>
                </w:tcPr>
                <w:p w14:paraId="27484AE1"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17" w:type="dxa"/>
                  <w:shd w:val="clear" w:color="auto" w:fill="auto"/>
                  <w:vAlign w:val="center"/>
                  <w:hideMark/>
                </w:tcPr>
                <w:p w14:paraId="1B6D7394"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70" w:type="dxa"/>
                  <w:shd w:val="clear" w:color="auto" w:fill="auto"/>
                  <w:vAlign w:val="center"/>
                  <w:hideMark/>
                </w:tcPr>
                <w:p w14:paraId="50F7C670"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895" w:type="dxa"/>
                  <w:shd w:val="clear" w:color="auto" w:fill="auto"/>
                  <w:vAlign w:val="center"/>
                  <w:hideMark/>
                </w:tcPr>
                <w:p w14:paraId="4C849014"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897" w:type="dxa"/>
                  <w:shd w:val="clear" w:color="auto" w:fill="auto"/>
                  <w:vAlign w:val="center"/>
                  <w:hideMark/>
                </w:tcPr>
                <w:p w14:paraId="14981D7E"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19" w:type="dxa"/>
                  <w:shd w:val="clear" w:color="auto" w:fill="auto"/>
                  <w:vAlign w:val="center"/>
                  <w:hideMark/>
                </w:tcPr>
                <w:p w14:paraId="2AB03687"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02" w:type="dxa"/>
                  <w:shd w:val="clear" w:color="auto" w:fill="auto"/>
                  <w:vAlign w:val="center"/>
                  <w:hideMark/>
                </w:tcPr>
                <w:p w14:paraId="4528A505"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45" w:type="dxa"/>
                  <w:shd w:val="clear" w:color="auto" w:fill="auto"/>
                  <w:vAlign w:val="center"/>
                  <w:hideMark/>
                </w:tcPr>
                <w:p w14:paraId="434F91B3"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r>
            <w:tr w:rsidR="0003488E" w:rsidRPr="00DD57E3" w14:paraId="2748CBA7" w14:textId="77777777" w:rsidTr="0037496F">
              <w:trPr>
                <w:trHeight w:val="20"/>
                <w:jc w:val="center"/>
              </w:trPr>
              <w:tc>
                <w:tcPr>
                  <w:tcW w:w="959" w:type="dxa"/>
                  <w:shd w:val="clear" w:color="auto" w:fill="auto"/>
                  <w:vAlign w:val="center"/>
                  <w:hideMark/>
                </w:tcPr>
                <w:p w14:paraId="21D95481"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859" w:type="dxa"/>
                  <w:shd w:val="clear" w:color="auto" w:fill="auto"/>
                  <w:vAlign w:val="center"/>
                  <w:hideMark/>
                </w:tcPr>
                <w:p w14:paraId="298BA3F1"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17" w:type="dxa"/>
                  <w:shd w:val="clear" w:color="auto" w:fill="auto"/>
                  <w:vAlign w:val="center"/>
                  <w:hideMark/>
                </w:tcPr>
                <w:p w14:paraId="6D1D2E8A"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17" w:type="dxa"/>
                  <w:shd w:val="clear" w:color="auto" w:fill="auto"/>
                  <w:vAlign w:val="center"/>
                  <w:hideMark/>
                </w:tcPr>
                <w:p w14:paraId="138F43BF"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970" w:type="dxa"/>
                  <w:shd w:val="clear" w:color="auto" w:fill="auto"/>
                  <w:vAlign w:val="center"/>
                  <w:hideMark/>
                </w:tcPr>
                <w:p w14:paraId="7A26A12B"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 </w:t>
                  </w:r>
                </w:p>
              </w:tc>
              <w:tc>
                <w:tcPr>
                  <w:tcW w:w="895" w:type="dxa"/>
                  <w:shd w:val="clear" w:color="auto" w:fill="auto"/>
                  <w:vAlign w:val="center"/>
                  <w:hideMark/>
                </w:tcPr>
                <w:p w14:paraId="3701E3F6" w14:textId="77777777" w:rsidR="0003488E" w:rsidRPr="00DD57E3" w:rsidRDefault="0003488E" w:rsidP="0003488E">
                  <w:pPr>
                    <w:spacing w:after="0" w:line="240" w:lineRule="auto"/>
                    <w:rPr>
                      <w:rFonts w:ascii="Times New Roman" w:eastAsia="Times New Roman" w:hAnsi="Times New Roman" w:cs="Times New Roman"/>
                      <w:color w:val="000000"/>
                      <w:lang w:val="ro-MD"/>
                    </w:rPr>
                  </w:pPr>
                </w:p>
              </w:tc>
              <w:tc>
                <w:tcPr>
                  <w:tcW w:w="897" w:type="dxa"/>
                  <w:shd w:val="clear" w:color="auto" w:fill="auto"/>
                  <w:vAlign w:val="center"/>
                  <w:hideMark/>
                </w:tcPr>
                <w:p w14:paraId="5E93193A"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19" w:type="dxa"/>
                  <w:shd w:val="clear" w:color="auto" w:fill="auto"/>
                  <w:vAlign w:val="center"/>
                  <w:hideMark/>
                </w:tcPr>
                <w:p w14:paraId="4C3B9D23"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02" w:type="dxa"/>
                  <w:shd w:val="clear" w:color="auto" w:fill="auto"/>
                  <w:vAlign w:val="center"/>
                  <w:hideMark/>
                </w:tcPr>
                <w:p w14:paraId="2608241A"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45" w:type="dxa"/>
                  <w:shd w:val="clear" w:color="auto" w:fill="auto"/>
                  <w:vAlign w:val="center"/>
                  <w:hideMark/>
                </w:tcPr>
                <w:p w14:paraId="215DD1DD"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r>
            <w:tr w:rsidR="0003488E" w:rsidRPr="00DD57E3" w14:paraId="591BAE49" w14:textId="77777777" w:rsidTr="00DD57E3">
              <w:trPr>
                <w:trHeight w:val="20"/>
                <w:jc w:val="center"/>
              </w:trPr>
              <w:tc>
                <w:tcPr>
                  <w:tcW w:w="959" w:type="dxa"/>
                  <w:shd w:val="clear" w:color="auto" w:fill="auto"/>
                  <w:vAlign w:val="center"/>
                  <w:hideMark/>
                </w:tcPr>
                <w:p w14:paraId="2EB97A45" w14:textId="77777777" w:rsidR="0003488E" w:rsidRPr="00DD57E3" w:rsidRDefault="0003488E" w:rsidP="0003488E">
                  <w:pPr>
                    <w:spacing w:after="0" w:line="240" w:lineRule="auto"/>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Moldova</w:t>
                  </w:r>
                </w:p>
              </w:tc>
              <w:tc>
                <w:tcPr>
                  <w:tcW w:w="859" w:type="dxa"/>
                  <w:shd w:val="clear" w:color="auto" w:fill="auto"/>
                  <w:vAlign w:val="center"/>
                  <w:hideMark/>
                </w:tcPr>
                <w:p w14:paraId="1C94702D"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0.41</w:t>
                  </w:r>
                </w:p>
              </w:tc>
              <w:tc>
                <w:tcPr>
                  <w:tcW w:w="917" w:type="dxa"/>
                  <w:shd w:val="clear" w:color="auto" w:fill="auto"/>
                  <w:vAlign w:val="center"/>
                  <w:hideMark/>
                </w:tcPr>
                <w:p w14:paraId="05A0304A"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15.8</w:t>
                  </w:r>
                </w:p>
              </w:tc>
              <w:tc>
                <w:tcPr>
                  <w:tcW w:w="917" w:type="dxa"/>
                  <w:shd w:val="clear" w:color="auto" w:fill="auto"/>
                  <w:vAlign w:val="center"/>
                  <w:hideMark/>
                </w:tcPr>
                <w:p w14:paraId="6D69345D"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6.0</w:t>
                  </w:r>
                </w:p>
              </w:tc>
              <w:tc>
                <w:tcPr>
                  <w:tcW w:w="970" w:type="dxa"/>
                  <w:shd w:val="clear" w:color="auto" w:fill="auto"/>
                  <w:vAlign w:val="center"/>
                  <w:hideMark/>
                </w:tcPr>
                <w:p w14:paraId="780AB770"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27.0</w:t>
                  </w:r>
                </w:p>
              </w:tc>
              <w:tc>
                <w:tcPr>
                  <w:tcW w:w="895" w:type="dxa"/>
                  <w:shd w:val="clear" w:color="auto" w:fill="auto"/>
                  <w:vAlign w:val="center"/>
                  <w:hideMark/>
                </w:tcPr>
                <w:p w14:paraId="4E2C3401" w14:textId="77777777" w:rsidR="0003488E" w:rsidRPr="00DD57E3" w:rsidRDefault="0003488E" w:rsidP="0003488E">
                  <w:pPr>
                    <w:spacing w:after="0" w:line="240" w:lineRule="auto"/>
                    <w:jc w:val="right"/>
                    <w:rPr>
                      <w:rFonts w:ascii="Times New Roman" w:eastAsia="Times New Roman" w:hAnsi="Times New Roman" w:cs="Times New Roman"/>
                      <w:b/>
                      <w:color w:val="000000"/>
                      <w:lang w:val="ro-MD"/>
                    </w:rPr>
                  </w:pPr>
                </w:p>
              </w:tc>
              <w:tc>
                <w:tcPr>
                  <w:tcW w:w="897" w:type="dxa"/>
                  <w:shd w:val="clear" w:color="auto" w:fill="auto"/>
                  <w:vAlign w:val="center"/>
                  <w:hideMark/>
                </w:tcPr>
                <w:p w14:paraId="10D3EEFF"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19" w:type="dxa"/>
                  <w:shd w:val="clear" w:color="auto" w:fill="auto"/>
                  <w:vAlign w:val="center"/>
                  <w:hideMark/>
                </w:tcPr>
                <w:p w14:paraId="2D845DF1"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02" w:type="dxa"/>
                  <w:shd w:val="clear" w:color="auto" w:fill="auto"/>
                  <w:vAlign w:val="center"/>
                  <w:hideMark/>
                </w:tcPr>
                <w:p w14:paraId="4A14ADF5"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c>
                <w:tcPr>
                  <w:tcW w:w="945" w:type="dxa"/>
                  <w:shd w:val="clear" w:color="auto" w:fill="auto"/>
                  <w:vAlign w:val="center"/>
                  <w:hideMark/>
                </w:tcPr>
                <w:p w14:paraId="16626DD1" w14:textId="77777777" w:rsidR="0003488E" w:rsidRPr="00DD57E3" w:rsidRDefault="0003488E" w:rsidP="0003488E">
                  <w:pPr>
                    <w:spacing w:after="0" w:line="240" w:lineRule="auto"/>
                    <w:rPr>
                      <w:rFonts w:ascii="Times New Roman" w:eastAsia="Times New Roman" w:hAnsi="Times New Roman" w:cs="Times New Roman"/>
                      <w:sz w:val="20"/>
                      <w:szCs w:val="20"/>
                      <w:lang w:val="ro-MD"/>
                    </w:rPr>
                  </w:pPr>
                </w:p>
              </w:tc>
            </w:tr>
          </w:tbl>
          <w:p w14:paraId="15FA0BAD" w14:textId="77777777" w:rsidR="0003488E" w:rsidRPr="00DD57E3" w:rsidRDefault="0003488E" w:rsidP="0003488E">
            <w:pPr>
              <w:tabs>
                <w:tab w:val="left" w:pos="884"/>
                <w:tab w:val="left" w:pos="1196"/>
              </w:tabs>
              <w:suppressAutoHyphens/>
              <w:spacing w:before="100" w:after="100" w:line="240" w:lineRule="auto"/>
              <w:jc w:val="right"/>
              <w:rPr>
                <w:rFonts w:eastAsiaTheme="minorEastAsia" w:cs="Times New Roman"/>
                <w:bCs/>
                <w:iCs/>
                <w:szCs w:val="24"/>
                <w:lang w:val="ro-MD" w:eastAsia="ar-SA"/>
              </w:rPr>
            </w:pPr>
          </w:p>
          <w:p w14:paraId="349EA791" w14:textId="77777777" w:rsidR="0003488E" w:rsidRPr="00DD57E3" w:rsidRDefault="0003488E" w:rsidP="0003488E">
            <w:pPr>
              <w:numPr>
                <w:ilvl w:val="0"/>
                <w:numId w:val="6"/>
              </w:numPr>
              <w:tabs>
                <w:tab w:val="left" w:pos="200"/>
                <w:tab w:val="left" w:pos="455"/>
                <w:tab w:val="left" w:pos="599"/>
                <w:tab w:val="left" w:pos="922"/>
              </w:tabs>
              <w:spacing w:before="240" w:after="0" w:line="240" w:lineRule="auto"/>
              <w:ind w:right="45" w:hanging="720"/>
              <w:jc w:val="both"/>
              <w:rPr>
                <w:rFonts w:ascii="Times New Roman" w:hAnsi="Times New Roman" w:cs="Times New Roman"/>
                <w:b/>
                <w:bCs/>
                <w:i/>
                <w:iCs/>
                <w:sz w:val="24"/>
                <w:szCs w:val="24"/>
                <w:lang w:val="ro-MD"/>
              </w:rPr>
            </w:pPr>
            <w:r w:rsidRPr="00DD57E3">
              <w:rPr>
                <w:rFonts w:ascii="Times New Roman" w:hAnsi="Times New Roman" w:cs="Times New Roman"/>
                <w:b/>
                <w:bCs/>
                <w:i/>
                <w:iCs/>
                <w:sz w:val="24"/>
                <w:szCs w:val="24"/>
                <w:lang w:val="ro-MD"/>
              </w:rPr>
              <w:t>Scenarii de implementare a Directivei 2009/33/CE în Republica Moldova</w:t>
            </w:r>
          </w:p>
          <w:p w14:paraId="458F3699"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Pentru implementarea Directivei 2009/33/CE, au fost elaborate trei scenarii diferite, care reflectă niveluri variate de ambiție în stabilirea țintelor și în planificarea măsurilor necesare pentru tranziția către achizițiile publice de vehicule nepoluante. Aceste scenarii au fost construite pe baza prognozelor de achiziții de vehicule rutiere, luând în considerare flota existentă și presupunerea că vehiculele cu o vechime de peste 10 ani vor fi înlocuite în perioada 2026-2030.</w:t>
            </w:r>
          </w:p>
          <w:p w14:paraId="222E6C04"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Pentru fiecare scenariu, utilizând valorile țintelor calculate, a fost determinat numărul de vehicule nepoluante care ar trebui achiziționate pentru fiecare categorie.</w:t>
            </w:r>
          </w:p>
          <w:p w14:paraId="70EC263E" w14:textId="77777777" w:rsidR="00C04392" w:rsidRPr="00DD57E3" w:rsidRDefault="00C04392"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p>
          <w:p w14:paraId="69F2A686" w14:textId="1ABE5FE0" w:rsidR="0003488E" w:rsidRPr="00DD57E3" w:rsidRDefault="0003488E" w:rsidP="0003488E">
            <w:pPr>
              <w:tabs>
                <w:tab w:val="left" w:pos="884"/>
                <w:tab w:val="left" w:pos="1196"/>
              </w:tabs>
              <w:suppressAutoHyphens/>
              <w:spacing w:before="100" w:after="100" w:line="240" w:lineRule="auto"/>
              <w:jc w:val="right"/>
              <w:rPr>
                <w:rFonts w:ascii="Times New Roman" w:eastAsiaTheme="minorEastAsia" w:hAnsi="Times New Roman" w:cs="Times New Roman"/>
                <w:i/>
                <w:sz w:val="24"/>
                <w:szCs w:val="24"/>
                <w:lang w:val="ro-MD" w:eastAsia="ar-SA"/>
              </w:rPr>
            </w:pPr>
            <w:r w:rsidRPr="00DD57E3">
              <w:rPr>
                <w:rFonts w:ascii="Times New Roman" w:eastAsiaTheme="minorEastAsia" w:hAnsi="Times New Roman" w:cs="Times New Roman"/>
                <w:i/>
                <w:sz w:val="24"/>
                <w:szCs w:val="24"/>
                <w:lang w:val="ro-MD" w:eastAsia="ar-SA"/>
              </w:rPr>
              <w:t>Tabel</w:t>
            </w:r>
            <w:r w:rsidR="00C04392" w:rsidRPr="00DD57E3">
              <w:rPr>
                <w:rFonts w:ascii="Times New Roman" w:eastAsiaTheme="minorEastAsia" w:hAnsi="Times New Roman" w:cs="Times New Roman"/>
                <w:i/>
                <w:sz w:val="24"/>
                <w:szCs w:val="24"/>
                <w:lang w:val="ro-MD" w:eastAsia="ar-SA"/>
              </w:rPr>
              <w:t xml:space="preserve"> 5</w:t>
            </w:r>
            <w:r w:rsidRPr="00DD57E3">
              <w:rPr>
                <w:rFonts w:ascii="Times New Roman" w:eastAsiaTheme="minorEastAsia" w:hAnsi="Times New Roman" w:cs="Times New Roman"/>
                <w:i/>
                <w:sz w:val="24"/>
                <w:szCs w:val="24"/>
                <w:lang w:val="ro-MD" w:eastAsia="ar-SA"/>
              </w:rPr>
              <w:t>. Scenariile de implementare a Directivei 2009/33/CE în Republica Moldova</w:t>
            </w:r>
          </w:p>
          <w:tbl>
            <w:tblPr>
              <w:tblW w:w="9300" w:type="dxa"/>
              <w:jc w:val="center"/>
              <w:tblCellMar>
                <w:left w:w="57" w:type="dxa"/>
                <w:right w:w="57" w:type="dxa"/>
              </w:tblCellMar>
              <w:tblLook w:val="04A0" w:firstRow="1" w:lastRow="0" w:firstColumn="1" w:lastColumn="0" w:noHBand="0" w:noVBand="1"/>
            </w:tblPr>
            <w:tblGrid>
              <w:gridCol w:w="1100"/>
              <w:gridCol w:w="3133"/>
              <w:gridCol w:w="1701"/>
              <w:gridCol w:w="1701"/>
              <w:gridCol w:w="1665"/>
            </w:tblGrid>
            <w:tr w:rsidR="0003488E" w:rsidRPr="00DD57E3" w14:paraId="4500BD89" w14:textId="77777777" w:rsidTr="002E5992">
              <w:trPr>
                <w:trHeight w:val="20"/>
                <w:jc w:val="center"/>
              </w:trPr>
              <w:tc>
                <w:tcPr>
                  <w:tcW w:w="42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EB510D" w14:textId="77777777"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Țintele minime privind achizițiile publice, %</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0A91288E" w14:textId="2828D45D"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V</w:t>
                  </w:r>
                  <w:r w:rsidR="007573BB" w:rsidRPr="00DD57E3">
                    <w:rPr>
                      <w:rFonts w:ascii="Times New Roman" w:eastAsia="Times New Roman" w:hAnsi="Times New Roman" w:cs="Times New Roman"/>
                      <w:b/>
                      <w:color w:val="000000"/>
                      <w:lang w:val="ro-MD"/>
                    </w:rPr>
                    <w:t>U</w:t>
                  </w:r>
                  <w:r w:rsidRPr="00DD57E3">
                    <w:rPr>
                      <w:rFonts w:ascii="Times New Roman" w:eastAsia="Times New Roman" w:hAnsi="Times New Roman" w:cs="Times New Roman"/>
                      <w:b/>
                      <w:color w:val="000000"/>
                      <w:lang w:val="ro-MD"/>
                    </w:rPr>
                    <w:t xml:space="preserve"> (M1 si M2 si N1)</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DCD9856" w14:textId="4167C8D5"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V</w:t>
                  </w:r>
                  <w:r w:rsidR="007573BB" w:rsidRPr="00DD57E3">
                    <w:rPr>
                      <w:rFonts w:ascii="Times New Roman" w:eastAsia="Times New Roman" w:hAnsi="Times New Roman" w:cs="Times New Roman"/>
                      <w:b/>
                      <w:color w:val="000000"/>
                      <w:lang w:val="ro-MD"/>
                    </w:rPr>
                    <w:t>G</w:t>
                  </w:r>
                  <w:r w:rsidRPr="00DD57E3">
                    <w:rPr>
                      <w:rFonts w:ascii="Times New Roman" w:eastAsia="Times New Roman" w:hAnsi="Times New Roman" w:cs="Times New Roman"/>
                      <w:b/>
                      <w:color w:val="000000"/>
                      <w:lang w:val="ro-MD"/>
                    </w:rPr>
                    <w:t xml:space="preserve"> (N2 si N3)</w:t>
                  </w:r>
                </w:p>
              </w:tc>
              <w:tc>
                <w:tcPr>
                  <w:tcW w:w="1665" w:type="dxa"/>
                  <w:tcBorders>
                    <w:top w:val="single" w:sz="4" w:space="0" w:color="auto"/>
                    <w:left w:val="nil"/>
                    <w:bottom w:val="single" w:sz="4" w:space="0" w:color="auto"/>
                    <w:right w:val="single" w:sz="4" w:space="0" w:color="auto"/>
                  </w:tcBorders>
                  <w:shd w:val="clear" w:color="000000" w:fill="D9D9D9"/>
                  <w:vAlign w:val="center"/>
                  <w:hideMark/>
                </w:tcPr>
                <w:p w14:paraId="535A29C1" w14:textId="45906414"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BUS (M3)</w:t>
                  </w:r>
                </w:p>
              </w:tc>
            </w:tr>
            <w:tr w:rsidR="0003488E" w:rsidRPr="00DD57E3" w14:paraId="70A82060" w14:textId="77777777" w:rsidTr="002E5992">
              <w:trPr>
                <w:trHeight w:val="2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874043D" w14:textId="77777777" w:rsidR="0003488E" w:rsidRPr="00DD57E3" w:rsidRDefault="0003488E" w:rsidP="0003488E">
                  <w:pPr>
                    <w:spacing w:after="0" w:line="240" w:lineRule="auto"/>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Scenariu "de a face nimic" (BAU)</w:t>
                  </w:r>
                </w:p>
              </w:tc>
              <w:tc>
                <w:tcPr>
                  <w:tcW w:w="3133" w:type="dxa"/>
                  <w:tcBorders>
                    <w:top w:val="nil"/>
                    <w:left w:val="nil"/>
                    <w:bottom w:val="single" w:sz="4" w:space="0" w:color="auto"/>
                    <w:right w:val="single" w:sz="4" w:space="0" w:color="auto"/>
                  </w:tcBorders>
                  <w:shd w:val="clear" w:color="auto" w:fill="auto"/>
                  <w:vAlign w:val="center"/>
                  <w:hideMark/>
                </w:tcPr>
                <w:p w14:paraId="25D37F57"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Presupune solicitarea unei perioade de tranziție fără stabilirea țintelor de achiziții de vehicule nepoluante</w:t>
                  </w:r>
                </w:p>
              </w:tc>
              <w:tc>
                <w:tcPr>
                  <w:tcW w:w="1701" w:type="dxa"/>
                  <w:tcBorders>
                    <w:top w:val="nil"/>
                    <w:left w:val="nil"/>
                    <w:bottom w:val="single" w:sz="4" w:space="0" w:color="auto"/>
                    <w:right w:val="single" w:sz="4" w:space="0" w:color="auto"/>
                  </w:tcBorders>
                  <w:shd w:val="clear" w:color="auto" w:fill="auto"/>
                  <w:vAlign w:val="center"/>
                  <w:hideMark/>
                </w:tcPr>
                <w:p w14:paraId="3DC8E4A7" w14:textId="77777777" w:rsidR="0003488E" w:rsidRPr="00DD57E3" w:rsidRDefault="0003488E" w:rsidP="0003488E">
                  <w:pPr>
                    <w:spacing w:after="0" w:line="240" w:lineRule="auto"/>
                    <w:jc w:val="center"/>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Fără țintă</w:t>
                  </w:r>
                </w:p>
              </w:tc>
              <w:tc>
                <w:tcPr>
                  <w:tcW w:w="1701" w:type="dxa"/>
                  <w:tcBorders>
                    <w:top w:val="nil"/>
                    <w:left w:val="nil"/>
                    <w:bottom w:val="single" w:sz="4" w:space="0" w:color="auto"/>
                    <w:right w:val="single" w:sz="4" w:space="0" w:color="auto"/>
                  </w:tcBorders>
                  <w:shd w:val="clear" w:color="auto" w:fill="auto"/>
                  <w:vAlign w:val="center"/>
                  <w:hideMark/>
                </w:tcPr>
                <w:p w14:paraId="5EF8AF69" w14:textId="77777777" w:rsidR="0003488E" w:rsidRPr="00DD57E3" w:rsidRDefault="0003488E" w:rsidP="0003488E">
                  <w:pPr>
                    <w:spacing w:after="0" w:line="240" w:lineRule="auto"/>
                    <w:jc w:val="center"/>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Fără țintă</w:t>
                  </w:r>
                </w:p>
              </w:tc>
              <w:tc>
                <w:tcPr>
                  <w:tcW w:w="1665" w:type="dxa"/>
                  <w:tcBorders>
                    <w:top w:val="nil"/>
                    <w:left w:val="nil"/>
                    <w:bottom w:val="single" w:sz="4" w:space="0" w:color="auto"/>
                    <w:right w:val="single" w:sz="4" w:space="0" w:color="auto"/>
                  </w:tcBorders>
                  <w:shd w:val="clear" w:color="auto" w:fill="auto"/>
                  <w:vAlign w:val="center"/>
                  <w:hideMark/>
                </w:tcPr>
                <w:p w14:paraId="056E39B2" w14:textId="77777777" w:rsidR="0003488E" w:rsidRPr="00DD57E3" w:rsidRDefault="0003488E" w:rsidP="0003488E">
                  <w:pPr>
                    <w:spacing w:after="0" w:line="240" w:lineRule="auto"/>
                    <w:jc w:val="center"/>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Fără țintă</w:t>
                  </w:r>
                </w:p>
              </w:tc>
            </w:tr>
            <w:tr w:rsidR="0003488E" w:rsidRPr="00DD57E3" w14:paraId="78D9AA05" w14:textId="77777777" w:rsidTr="002E5992">
              <w:trPr>
                <w:trHeight w:val="2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CEF0459" w14:textId="77777777" w:rsidR="0003488E" w:rsidRPr="00DD57E3" w:rsidRDefault="0003488E" w:rsidP="0003488E">
                  <w:pPr>
                    <w:spacing w:after="0" w:line="240" w:lineRule="auto"/>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Scenariu moderat</w:t>
                  </w:r>
                </w:p>
              </w:tc>
              <w:tc>
                <w:tcPr>
                  <w:tcW w:w="3133" w:type="dxa"/>
                  <w:tcBorders>
                    <w:top w:val="nil"/>
                    <w:left w:val="nil"/>
                    <w:bottom w:val="single" w:sz="4" w:space="0" w:color="auto"/>
                    <w:right w:val="single" w:sz="4" w:space="0" w:color="auto"/>
                  </w:tcBorders>
                  <w:shd w:val="clear" w:color="auto" w:fill="auto"/>
                  <w:vAlign w:val="center"/>
                  <w:hideMark/>
                </w:tcPr>
                <w:p w14:paraId="7886C5BC"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Stabilirea țintelor "echitabile" pentru RM și planificarea acțiunilor pentru atingerea țintelor stabilite</w:t>
                  </w:r>
                </w:p>
              </w:tc>
              <w:tc>
                <w:tcPr>
                  <w:tcW w:w="1701" w:type="dxa"/>
                  <w:tcBorders>
                    <w:top w:val="nil"/>
                    <w:left w:val="nil"/>
                    <w:bottom w:val="single" w:sz="4" w:space="0" w:color="auto"/>
                    <w:right w:val="single" w:sz="4" w:space="0" w:color="auto"/>
                  </w:tcBorders>
                  <w:shd w:val="clear" w:color="auto" w:fill="auto"/>
                  <w:vAlign w:val="center"/>
                  <w:hideMark/>
                </w:tcPr>
                <w:p w14:paraId="655CC3CB" w14:textId="77777777" w:rsidR="0003488E" w:rsidRPr="00DD57E3" w:rsidRDefault="0003488E" w:rsidP="0003488E">
                  <w:pPr>
                    <w:spacing w:after="0" w:line="240" w:lineRule="auto"/>
                    <w:jc w:val="center"/>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13.5</w:t>
                  </w:r>
                </w:p>
              </w:tc>
              <w:tc>
                <w:tcPr>
                  <w:tcW w:w="1701" w:type="dxa"/>
                  <w:tcBorders>
                    <w:top w:val="nil"/>
                    <w:left w:val="nil"/>
                    <w:bottom w:val="single" w:sz="4" w:space="0" w:color="auto"/>
                    <w:right w:val="single" w:sz="4" w:space="0" w:color="auto"/>
                  </w:tcBorders>
                  <w:shd w:val="clear" w:color="auto" w:fill="auto"/>
                  <w:vAlign w:val="center"/>
                  <w:hideMark/>
                </w:tcPr>
                <w:p w14:paraId="32D01E62" w14:textId="77777777" w:rsidR="0003488E" w:rsidRPr="00DD57E3" w:rsidRDefault="0003488E" w:rsidP="0003488E">
                  <w:pPr>
                    <w:spacing w:after="0" w:line="240" w:lineRule="auto"/>
                    <w:jc w:val="center"/>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5</w:t>
                  </w:r>
                </w:p>
              </w:tc>
              <w:tc>
                <w:tcPr>
                  <w:tcW w:w="1665" w:type="dxa"/>
                  <w:tcBorders>
                    <w:top w:val="nil"/>
                    <w:left w:val="nil"/>
                    <w:bottom w:val="single" w:sz="4" w:space="0" w:color="auto"/>
                    <w:right w:val="single" w:sz="4" w:space="0" w:color="auto"/>
                  </w:tcBorders>
                  <w:shd w:val="clear" w:color="auto" w:fill="auto"/>
                  <w:vAlign w:val="center"/>
                  <w:hideMark/>
                </w:tcPr>
                <w:p w14:paraId="752A750F" w14:textId="77777777" w:rsidR="0003488E" w:rsidRPr="00DD57E3" w:rsidRDefault="0003488E" w:rsidP="0003488E">
                  <w:pPr>
                    <w:spacing w:after="0" w:line="240" w:lineRule="auto"/>
                    <w:jc w:val="center"/>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23</w:t>
                  </w:r>
                </w:p>
              </w:tc>
            </w:tr>
            <w:tr w:rsidR="0003488E" w:rsidRPr="00DD57E3" w14:paraId="2CF0D40E" w14:textId="77777777" w:rsidTr="002E5992">
              <w:trPr>
                <w:trHeight w:val="20"/>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15C7F78" w14:textId="77777777" w:rsidR="0003488E" w:rsidRPr="00DD57E3" w:rsidRDefault="0003488E" w:rsidP="0003488E">
                  <w:pPr>
                    <w:spacing w:after="0" w:line="240" w:lineRule="auto"/>
                    <w:rPr>
                      <w:rFonts w:ascii="Times New Roman" w:eastAsia="Times New Roman" w:hAnsi="Times New Roman" w:cs="Times New Roman"/>
                      <w:i/>
                      <w:color w:val="000000"/>
                      <w:lang w:val="ro-MD"/>
                    </w:rPr>
                  </w:pPr>
                  <w:r w:rsidRPr="00DD57E3">
                    <w:rPr>
                      <w:rFonts w:ascii="Times New Roman" w:eastAsia="Times New Roman" w:hAnsi="Times New Roman" w:cs="Times New Roman"/>
                      <w:i/>
                      <w:color w:val="000000"/>
                      <w:lang w:val="ro-MD"/>
                    </w:rPr>
                    <w:t>Scenariu optimist</w:t>
                  </w:r>
                </w:p>
              </w:tc>
              <w:tc>
                <w:tcPr>
                  <w:tcW w:w="3133" w:type="dxa"/>
                  <w:tcBorders>
                    <w:top w:val="nil"/>
                    <w:left w:val="nil"/>
                    <w:bottom w:val="single" w:sz="4" w:space="0" w:color="auto"/>
                    <w:right w:val="single" w:sz="4" w:space="0" w:color="auto"/>
                  </w:tcBorders>
                  <w:shd w:val="clear" w:color="auto" w:fill="auto"/>
                  <w:vAlign w:val="center"/>
                  <w:hideMark/>
                </w:tcPr>
                <w:p w14:paraId="64930FF5"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Stabilirea țintelor maxime pentru RM și planificarea acțiunilor pentru atingerea țintelor stabilite</w:t>
                  </w:r>
                </w:p>
              </w:tc>
              <w:tc>
                <w:tcPr>
                  <w:tcW w:w="1701" w:type="dxa"/>
                  <w:tcBorders>
                    <w:top w:val="nil"/>
                    <w:left w:val="nil"/>
                    <w:bottom w:val="single" w:sz="4" w:space="0" w:color="auto"/>
                    <w:right w:val="single" w:sz="4" w:space="0" w:color="auto"/>
                  </w:tcBorders>
                  <w:shd w:val="clear" w:color="auto" w:fill="auto"/>
                  <w:vAlign w:val="center"/>
                  <w:hideMark/>
                </w:tcPr>
                <w:p w14:paraId="78D82362" w14:textId="77777777" w:rsidR="0003488E" w:rsidRPr="00DD57E3" w:rsidRDefault="0003488E" w:rsidP="0003488E">
                  <w:pPr>
                    <w:spacing w:after="0" w:line="240" w:lineRule="auto"/>
                    <w:jc w:val="center"/>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15.8</w:t>
                  </w:r>
                </w:p>
              </w:tc>
              <w:tc>
                <w:tcPr>
                  <w:tcW w:w="1701" w:type="dxa"/>
                  <w:tcBorders>
                    <w:top w:val="nil"/>
                    <w:left w:val="nil"/>
                    <w:bottom w:val="single" w:sz="4" w:space="0" w:color="auto"/>
                    <w:right w:val="single" w:sz="4" w:space="0" w:color="auto"/>
                  </w:tcBorders>
                  <w:shd w:val="clear" w:color="auto" w:fill="auto"/>
                  <w:vAlign w:val="center"/>
                  <w:hideMark/>
                </w:tcPr>
                <w:p w14:paraId="16D270B2" w14:textId="77777777" w:rsidR="0003488E" w:rsidRPr="00DD57E3" w:rsidRDefault="0003488E" w:rsidP="0003488E">
                  <w:pPr>
                    <w:spacing w:after="0" w:line="240" w:lineRule="auto"/>
                    <w:jc w:val="center"/>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6</w:t>
                  </w:r>
                </w:p>
              </w:tc>
              <w:tc>
                <w:tcPr>
                  <w:tcW w:w="1665" w:type="dxa"/>
                  <w:tcBorders>
                    <w:top w:val="nil"/>
                    <w:left w:val="nil"/>
                    <w:bottom w:val="single" w:sz="4" w:space="0" w:color="auto"/>
                    <w:right w:val="single" w:sz="4" w:space="0" w:color="auto"/>
                  </w:tcBorders>
                  <w:shd w:val="clear" w:color="auto" w:fill="auto"/>
                  <w:vAlign w:val="center"/>
                  <w:hideMark/>
                </w:tcPr>
                <w:p w14:paraId="223A2D84" w14:textId="77777777" w:rsidR="0003488E" w:rsidRPr="00DD57E3" w:rsidRDefault="0003488E" w:rsidP="0003488E">
                  <w:pPr>
                    <w:spacing w:after="0" w:line="240" w:lineRule="auto"/>
                    <w:jc w:val="center"/>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27</w:t>
                  </w:r>
                </w:p>
              </w:tc>
            </w:tr>
          </w:tbl>
          <w:p w14:paraId="2E03F248"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p>
          <w:p w14:paraId="68727BC9" w14:textId="70580D74"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
                <w:i/>
                <w:sz w:val="24"/>
                <w:szCs w:val="24"/>
                <w:u w:val="single"/>
                <w:lang w:val="ro-MD" w:eastAsia="ar-SA"/>
              </w:rPr>
            </w:pPr>
            <w:r w:rsidRPr="00DD57E3">
              <w:rPr>
                <w:rFonts w:ascii="Times New Roman" w:eastAsiaTheme="minorEastAsia" w:hAnsi="Times New Roman" w:cs="Times New Roman"/>
                <w:b/>
                <w:i/>
                <w:sz w:val="24"/>
                <w:szCs w:val="24"/>
                <w:u w:val="single"/>
                <w:lang w:val="ro-MD" w:eastAsia="ar-SA"/>
              </w:rPr>
              <w:t xml:space="preserve">Scenariul 1: "Business as Usual" (BAU) – </w:t>
            </w:r>
            <w:r w:rsidR="0008260C" w:rsidRPr="00DD57E3">
              <w:rPr>
                <w:rFonts w:ascii="Times New Roman" w:eastAsiaTheme="minorEastAsia" w:hAnsi="Times New Roman" w:cs="Times New Roman"/>
                <w:b/>
                <w:i/>
                <w:sz w:val="24"/>
                <w:szCs w:val="24"/>
                <w:u w:val="single"/>
                <w:lang w:val="ro-MD" w:eastAsia="ar-SA"/>
              </w:rPr>
              <w:t xml:space="preserve">fără </w:t>
            </w:r>
            <w:r w:rsidRPr="00DD57E3">
              <w:rPr>
                <w:rFonts w:ascii="Times New Roman" w:eastAsiaTheme="minorEastAsia" w:hAnsi="Times New Roman" w:cs="Times New Roman"/>
                <w:b/>
                <w:i/>
                <w:sz w:val="24"/>
                <w:szCs w:val="24"/>
                <w:u w:val="single"/>
                <w:lang w:val="ro-MD" w:eastAsia="ar-SA"/>
              </w:rPr>
              <w:t>stabilirea țintelor</w:t>
            </w:r>
          </w:p>
          <w:p w14:paraId="0B03C0BD"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Acest scenariu presupune solicitarea unei perioade de tranziție fără stabilirea unor ținte concrete pentru achizițiile de vehicule nepoluante. În acest context, autoritățile contractante și entitățile contractante vor continua să achiziționeze vehicule conform practicilor existente, fără obligații specifice de integrare a vehiculelor nepoluante.</w:t>
            </w:r>
          </w:p>
          <w:p w14:paraId="2A05C9A9"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Implicații:</w:t>
            </w:r>
          </w:p>
          <w:p w14:paraId="3B16184F" w14:textId="77777777" w:rsidR="0003488E" w:rsidRPr="00DD57E3" w:rsidRDefault="0003488E" w:rsidP="0003488E">
            <w:pPr>
              <w:pStyle w:val="a4"/>
              <w:numPr>
                <w:ilvl w:val="0"/>
                <w:numId w:val="23"/>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Nu sunt introduse cerințe legale pentru achiziții de vehicule nepoluante.</w:t>
            </w:r>
          </w:p>
          <w:p w14:paraId="59AF6637" w14:textId="77777777" w:rsidR="0003488E" w:rsidRPr="00DD57E3" w:rsidRDefault="0003488E" w:rsidP="0003488E">
            <w:pPr>
              <w:pStyle w:val="a4"/>
              <w:numPr>
                <w:ilvl w:val="0"/>
                <w:numId w:val="23"/>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lastRenderedPageBreak/>
              <w:t>Achizițiile vor continua să se bazeze pe considerente economice și tehnice existente, fără un stimulent clar pentru tehnologii curate.</w:t>
            </w:r>
          </w:p>
          <w:p w14:paraId="38F12BD1" w14:textId="77777777" w:rsidR="0003488E" w:rsidRPr="00DD57E3" w:rsidRDefault="0003488E" w:rsidP="0003488E">
            <w:pPr>
              <w:pStyle w:val="a4"/>
              <w:numPr>
                <w:ilvl w:val="0"/>
                <w:numId w:val="23"/>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Există riscul ca Republica Moldova să rămână în urma standardelor europene și să întâmpine dificultăți în atingerea obiectivelor climatice pe termen lung.</w:t>
            </w:r>
          </w:p>
          <w:p w14:paraId="172AB09E" w14:textId="77777777" w:rsidR="0003488E" w:rsidRPr="00DD57E3" w:rsidRDefault="0003488E" w:rsidP="0003488E">
            <w:pPr>
              <w:pStyle w:val="a4"/>
              <w:numPr>
                <w:ilvl w:val="0"/>
                <w:numId w:val="23"/>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Fără un mecanism de reglementare, utilizarea vehiculelor poluante va continua să predomine, afectând calitatea aerului și sănătatea populației.</w:t>
            </w:r>
          </w:p>
          <w:p w14:paraId="5BC66002"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Prognoza achizițiilor în scenariul BAU:</w:t>
            </w:r>
          </w:p>
          <w:p w14:paraId="645E18EC" w14:textId="77777777" w:rsidR="0003488E" w:rsidRPr="00DD57E3" w:rsidRDefault="0003488E" w:rsidP="0003488E">
            <w:pPr>
              <w:pStyle w:val="a4"/>
              <w:numPr>
                <w:ilvl w:val="0"/>
                <w:numId w:val="24"/>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Fără obligații legale, numărul vehiculelor nepoluante achiziționate ar fi nesemnificativ.</w:t>
            </w:r>
          </w:p>
          <w:p w14:paraId="08EEFAAB" w14:textId="1E5F0DDE" w:rsidR="0003488E" w:rsidRPr="00DD57E3" w:rsidRDefault="0003488E" w:rsidP="0003488E">
            <w:pPr>
              <w:pStyle w:val="a4"/>
              <w:numPr>
                <w:ilvl w:val="0"/>
                <w:numId w:val="24"/>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 xml:space="preserve">Majoritatea achizițiilor de vehicule noi ar fi în continuare bazate pe criterii financiare și operaționale, fără </w:t>
            </w:r>
            <w:r w:rsidR="00681CF4" w:rsidRPr="00DD57E3">
              <w:rPr>
                <w:rFonts w:eastAsiaTheme="minorEastAsia" w:cs="Times New Roman"/>
                <w:bCs/>
                <w:iCs/>
                <w:szCs w:val="24"/>
                <w:lang w:val="ro-MD" w:eastAsia="ar-SA"/>
              </w:rPr>
              <w:t>prioritizarea</w:t>
            </w:r>
            <w:r w:rsidRPr="00DD57E3">
              <w:rPr>
                <w:rFonts w:eastAsiaTheme="minorEastAsia" w:cs="Times New Roman"/>
                <w:bCs/>
                <w:iCs/>
                <w:szCs w:val="24"/>
                <w:lang w:val="ro-MD" w:eastAsia="ar-SA"/>
              </w:rPr>
              <w:t xml:space="preserve"> pentru tehnologii curate.</w:t>
            </w:r>
          </w:p>
          <w:p w14:paraId="7EBCA516" w14:textId="77777777" w:rsidR="00167E6F" w:rsidRPr="00DD57E3" w:rsidRDefault="00167E6F" w:rsidP="0003488E">
            <w:pPr>
              <w:tabs>
                <w:tab w:val="left" w:pos="884"/>
                <w:tab w:val="left" w:pos="1196"/>
              </w:tabs>
              <w:suppressAutoHyphens/>
              <w:spacing w:before="100" w:after="100" w:line="240" w:lineRule="auto"/>
              <w:jc w:val="both"/>
              <w:rPr>
                <w:rFonts w:ascii="Times New Roman" w:eastAsiaTheme="minorEastAsia" w:hAnsi="Times New Roman" w:cs="Times New Roman"/>
                <w:b/>
                <w:i/>
                <w:sz w:val="24"/>
                <w:szCs w:val="24"/>
                <w:u w:val="single"/>
                <w:lang w:val="ro-MD" w:eastAsia="ar-SA"/>
              </w:rPr>
            </w:pPr>
          </w:p>
          <w:p w14:paraId="531318EF" w14:textId="0FEFD4A0"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
                <w:i/>
                <w:sz w:val="24"/>
                <w:szCs w:val="24"/>
                <w:u w:val="single"/>
                <w:lang w:val="ro-MD" w:eastAsia="ar-SA"/>
              </w:rPr>
            </w:pPr>
            <w:r w:rsidRPr="00DD57E3">
              <w:rPr>
                <w:rFonts w:ascii="Times New Roman" w:eastAsiaTheme="minorEastAsia" w:hAnsi="Times New Roman" w:cs="Times New Roman"/>
                <w:b/>
                <w:i/>
                <w:sz w:val="24"/>
                <w:szCs w:val="24"/>
                <w:u w:val="single"/>
                <w:lang w:val="ro-MD" w:eastAsia="ar-SA"/>
              </w:rPr>
              <w:t xml:space="preserve">Scenariul 2: Scenariul moderat – </w:t>
            </w:r>
            <w:r w:rsidR="0008260C" w:rsidRPr="00DD57E3">
              <w:rPr>
                <w:rFonts w:ascii="Times New Roman" w:eastAsiaTheme="minorEastAsia" w:hAnsi="Times New Roman" w:cs="Times New Roman"/>
                <w:b/>
                <w:i/>
                <w:sz w:val="24"/>
                <w:szCs w:val="24"/>
                <w:u w:val="single"/>
                <w:lang w:val="ro-MD" w:eastAsia="ar-SA"/>
              </w:rPr>
              <w:t xml:space="preserve">ținte </w:t>
            </w:r>
            <w:r w:rsidRPr="00DD57E3">
              <w:rPr>
                <w:rFonts w:ascii="Times New Roman" w:eastAsiaTheme="minorEastAsia" w:hAnsi="Times New Roman" w:cs="Times New Roman"/>
                <w:b/>
                <w:i/>
                <w:sz w:val="24"/>
                <w:szCs w:val="24"/>
                <w:u w:val="single"/>
                <w:lang w:val="ro-MD" w:eastAsia="ar-SA"/>
              </w:rPr>
              <w:t>echitabile pentru Republica Moldova</w:t>
            </w:r>
          </w:p>
          <w:p w14:paraId="1EB0661D"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Acest scenariu presupune stabilirea unor ținte echitabile, determinate pe baza metodologiei europene, utilizând PIB-ul per capita și ponderea populației urbane din 2019 (conform datelor World Bank). Planificarea măsurilor necesare pentru atingerea acestor ținte va fi realizată într-un mod etapizat, oferind autorităților contractante timp suficient pentru adaptare.</w:t>
            </w:r>
          </w:p>
          <w:p w14:paraId="704A1F7A"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Implicații:</w:t>
            </w:r>
          </w:p>
          <w:p w14:paraId="66A68D52" w14:textId="77777777" w:rsidR="0003488E" w:rsidRPr="00DD57E3" w:rsidRDefault="0003488E" w:rsidP="0003488E">
            <w:pPr>
              <w:pStyle w:val="a4"/>
              <w:numPr>
                <w:ilvl w:val="0"/>
                <w:numId w:val="25"/>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Se introduc ținte realiste, care reflectă capacitatea economică și necesitatea de a reduce poluarea aerului.</w:t>
            </w:r>
          </w:p>
          <w:p w14:paraId="1E886253" w14:textId="77777777" w:rsidR="0003488E" w:rsidRPr="00DD57E3" w:rsidRDefault="0003488E" w:rsidP="0003488E">
            <w:pPr>
              <w:pStyle w:val="a4"/>
              <w:numPr>
                <w:ilvl w:val="0"/>
                <w:numId w:val="25"/>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Se creează un cadru clar pentru achizițiile publice, stimulând cererea de vehicule nepoluante.</w:t>
            </w:r>
          </w:p>
          <w:p w14:paraId="7130D454" w14:textId="77777777" w:rsidR="0003488E" w:rsidRPr="00DD57E3" w:rsidRDefault="0003488E" w:rsidP="0003488E">
            <w:pPr>
              <w:pStyle w:val="a4"/>
              <w:numPr>
                <w:ilvl w:val="0"/>
                <w:numId w:val="25"/>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Se asigură o tranziție progresivă, evitând o presiune financiară excesivă asupra autorităților și operatorilor.</w:t>
            </w:r>
          </w:p>
          <w:p w14:paraId="794E93F9" w14:textId="77777777" w:rsidR="0003488E" w:rsidRPr="00DD57E3" w:rsidRDefault="0003488E" w:rsidP="0003488E">
            <w:pPr>
              <w:pStyle w:val="a4"/>
              <w:numPr>
                <w:ilvl w:val="0"/>
                <w:numId w:val="25"/>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Republica Moldova se aliniază treptat cu standardele europene, facilitând viitoare finanțări și parteneriate internaționale.</w:t>
            </w:r>
          </w:p>
          <w:p w14:paraId="568FA23B"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Prognoza achizițiilor în scenariul moderat:</w:t>
            </w:r>
          </w:p>
          <w:p w14:paraId="5F4F8520" w14:textId="77777777" w:rsidR="0003488E" w:rsidRPr="00DD57E3" w:rsidRDefault="0003488E" w:rsidP="0003488E">
            <w:pPr>
              <w:pStyle w:val="a4"/>
              <w:numPr>
                <w:ilvl w:val="0"/>
                <w:numId w:val="26"/>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Pe baza înlocuirii flotei cu vechime de peste 10 ani, se estimează un număr semnificativ de vehicule nepoluante achiziționate în fiecare categorie, dar fără a atinge nivelul maxim posibil.</w:t>
            </w:r>
          </w:p>
          <w:p w14:paraId="08B318B6" w14:textId="77777777" w:rsidR="0003488E" w:rsidRPr="00DD57E3" w:rsidRDefault="0003488E" w:rsidP="0003488E">
            <w:pPr>
              <w:pStyle w:val="a4"/>
              <w:numPr>
                <w:ilvl w:val="0"/>
                <w:numId w:val="26"/>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Procesul de achiziție va fi susținut prin mecanisme de sprijin financiar și reglementări flexibile.</w:t>
            </w:r>
          </w:p>
          <w:p w14:paraId="4D075AA1" w14:textId="77777777" w:rsidR="002E5992" w:rsidRPr="00DD57E3" w:rsidRDefault="002E5992" w:rsidP="002E5992">
            <w:pPr>
              <w:pStyle w:val="a4"/>
              <w:tabs>
                <w:tab w:val="left" w:pos="884"/>
                <w:tab w:val="left" w:pos="1196"/>
              </w:tabs>
              <w:suppressAutoHyphens/>
              <w:spacing w:before="100" w:after="100" w:line="240" w:lineRule="auto"/>
              <w:jc w:val="both"/>
              <w:rPr>
                <w:rFonts w:eastAsiaTheme="minorEastAsia" w:cs="Times New Roman"/>
                <w:bCs/>
                <w:iCs/>
                <w:szCs w:val="24"/>
                <w:lang w:val="ro-MD" w:eastAsia="ar-SA"/>
              </w:rPr>
            </w:pPr>
          </w:p>
          <w:p w14:paraId="02C4E53A" w14:textId="77777777" w:rsidR="002E5992" w:rsidRPr="00DD57E3" w:rsidRDefault="002E5992" w:rsidP="002E5992">
            <w:pPr>
              <w:pStyle w:val="a4"/>
              <w:tabs>
                <w:tab w:val="left" w:pos="884"/>
                <w:tab w:val="left" w:pos="1196"/>
              </w:tabs>
              <w:suppressAutoHyphens/>
              <w:spacing w:before="100" w:after="100" w:line="240" w:lineRule="auto"/>
              <w:jc w:val="both"/>
              <w:rPr>
                <w:rFonts w:eastAsiaTheme="minorEastAsia" w:cs="Times New Roman"/>
                <w:bCs/>
                <w:iCs/>
                <w:szCs w:val="24"/>
                <w:lang w:val="ro-MD" w:eastAsia="ar-SA"/>
              </w:rPr>
            </w:pPr>
          </w:p>
          <w:p w14:paraId="59C7A9CD" w14:textId="1C966CCA"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
                <w:i/>
                <w:sz w:val="24"/>
                <w:szCs w:val="24"/>
                <w:u w:val="single"/>
                <w:lang w:val="ro-MD" w:eastAsia="ar-SA"/>
              </w:rPr>
            </w:pPr>
            <w:r w:rsidRPr="00DD57E3">
              <w:rPr>
                <w:rFonts w:ascii="Times New Roman" w:eastAsiaTheme="minorEastAsia" w:hAnsi="Times New Roman" w:cs="Times New Roman"/>
                <w:b/>
                <w:i/>
                <w:sz w:val="24"/>
                <w:szCs w:val="24"/>
                <w:u w:val="single"/>
                <w:lang w:val="ro-MD" w:eastAsia="ar-SA"/>
              </w:rPr>
              <w:t xml:space="preserve">Scenariul 3: Scenariul optimist – </w:t>
            </w:r>
            <w:r w:rsidR="0008260C" w:rsidRPr="00DD57E3">
              <w:rPr>
                <w:rFonts w:ascii="Times New Roman" w:eastAsiaTheme="minorEastAsia" w:hAnsi="Times New Roman" w:cs="Times New Roman"/>
                <w:b/>
                <w:i/>
                <w:sz w:val="24"/>
                <w:szCs w:val="24"/>
                <w:u w:val="single"/>
                <w:lang w:val="ro-MD" w:eastAsia="ar-SA"/>
              </w:rPr>
              <w:t xml:space="preserve">ținte </w:t>
            </w:r>
            <w:r w:rsidRPr="00DD57E3">
              <w:rPr>
                <w:rFonts w:ascii="Times New Roman" w:eastAsiaTheme="minorEastAsia" w:hAnsi="Times New Roman" w:cs="Times New Roman"/>
                <w:b/>
                <w:i/>
                <w:sz w:val="24"/>
                <w:szCs w:val="24"/>
                <w:u w:val="single"/>
                <w:lang w:val="ro-MD" w:eastAsia="ar-SA"/>
              </w:rPr>
              <w:t>maxime pentru Republica Moldova</w:t>
            </w:r>
          </w:p>
          <w:p w14:paraId="5BC9F357"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Acest scenariu presupune stabilirea țintelor maxime, determinate utilizând PIB-ul per capita și ponderea populației urbane actualizate pentru perioada 2023-2024 (conform datelor Biroului Național de Statistică). Acest scenariu reflectă o accelerare mai ambițioasă a tranziției către vehicule nepoluante, implicând măsuri suplimentare pentru implementare.</w:t>
            </w:r>
          </w:p>
          <w:p w14:paraId="6D893096"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Implicații:</w:t>
            </w:r>
          </w:p>
          <w:p w14:paraId="4319DE7B" w14:textId="77777777" w:rsidR="0003488E" w:rsidRPr="00DD57E3" w:rsidRDefault="0003488E" w:rsidP="0003488E">
            <w:pPr>
              <w:pStyle w:val="a4"/>
              <w:numPr>
                <w:ilvl w:val="0"/>
                <w:numId w:val="27"/>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Se adoptă un nivel ridicat de ambiție, încurajând tranziția rapidă către un transport public sustenabil.</w:t>
            </w:r>
          </w:p>
          <w:p w14:paraId="5278F56A" w14:textId="77777777" w:rsidR="0003488E" w:rsidRPr="00DD57E3" w:rsidRDefault="0003488E" w:rsidP="0003488E">
            <w:pPr>
              <w:pStyle w:val="a4"/>
              <w:numPr>
                <w:ilvl w:val="0"/>
                <w:numId w:val="27"/>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Se maximizează impactul pozitiv asupra calității aerului și sănătății populației.</w:t>
            </w:r>
          </w:p>
          <w:p w14:paraId="056BD075" w14:textId="77777777" w:rsidR="0003488E" w:rsidRPr="00DD57E3" w:rsidRDefault="0003488E" w:rsidP="0003488E">
            <w:pPr>
              <w:pStyle w:val="a4"/>
              <w:numPr>
                <w:ilvl w:val="0"/>
                <w:numId w:val="27"/>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Necesită investiții mai semnificative în infrastructură, inclusiv puncte de încărcare pentru vehicule electrice și facilități pentru combustibili alternativi.</w:t>
            </w:r>
          </w:p>
          <w:p w14:paraId="1428D007" w14:textId="77777777" w:rsidR="0003488E" w:rsidRPr="00DD57E3" w:rsidRDefault="0003488E" w:rsidP="0003488E">
            <w:pPr>
              <w:pStyle w:val="a4"/>
              <w:numPr>
                <w:ilvl w:val="0"/>
                <w:numId w:val="27"/>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Este necesară o strategie clară de finanțare, inclusiv accesarea fondurilor externe și stimulente pentru operatori.</w:t>
            </w:r>
          </w:p>
          <w:p w14:paraId="7CC166DE"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Prognoza achizițiilor în scenariul optimist:</w:t>
            </w:r>
          </w:p>
          <w:p w14:paraId="22945A0C" w14:textId="77777777" w:rsidR="0003488E" w:rsidRPr="00DD57E3" w:rsidRDefault="0003488E" w:rsidP="0003488E">
            <w:pPr>
              <w:pStyle w:val="a4"/>
              <w:numPr>
                <w:ilvl w:val="0"/>
                <w:numId w:val="28"/>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Se prevede un număr semnificativ mai mare de vehicule nepoluante achiziționate față de scenariul moderat, inclusiv pentru categoriile unde tranziția este mai dificilă (N2, N3).</w:t>
            </w:r>
          </w:p>
          <w:p w14:paraId="304F3A87" w14:textId="77777777" w:rsidR="0003488E" w:rsidRPr="00DD57E3" w:rsidRDefault="0003488E" w:rsidP="0003488E">
            <w:pPr>
              <w:pStyle w:val="a4"/>
              <w:numPr>
                <w:ilvl w:val="0"/>
                <w:numId w:val="28"/>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Pentru categoria M3 (autobuze), abordarea este diferită:</w:t>
            </w:r>
          </w:p>
          <w:p w14:paraId="6A852169" w14:textId="77777777" w:rsidR="0003488E" w:rsidRPr="00DD57E3" w:rsidRDefault="0003488E" w:rsidP="0003488E">
            <w:pPr>
              <w:pStyle w:val="a4"/>
              <w:numPr>
                <w:ilvl w:val="1"/>
                <w:numId w:val="28"/>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Deoarece achizițiile de servicii publice de transport (care influențează numărul de autobuze nepoluante) sunt imprevizibile, se propune ca toate autobuzele utilizate în contracte noi din orașele poli de creștere să fie nepoluante.</w:t>
            </w:r>
          </w:p>
          <w:p w14:paraId="105FA738" w14:textId="77777777" w:rsidR="0003488E" w:rsidRPr="00DD57E3" w:rsidRDefault="0003488E" w:rsidP="0003488E">
            <w:pPr>
              <w:pStyle w:val="a4"/>
              <w:numPr>
                <w:ilvl w:val="1"/>
                <w:numId w:val="28"/>
              </w:numPr>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lastRenderedPageBreak/>
              <w:t>Prognoza privind necesarul de autobuze pentru furnizorii de servicii s-a bazat pe Planurile de Mobilitate Urbană Durabilă (PMUD) pentru trei orașe-poli care au aceste documente, iar pentru alte trei a fost utilizată o metodă de extrapolare.</w:t>
            </w:r>
          </w:p>
          <w:p w14:paraId="409EBC4D"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Alegerea scenariului de implementare a Directivei 2009/33/CE va depinde de nivelul de angajament al Republicii Moldova în tranziția către un transport public sustenabil.</w:t>
            </w:r>
          </w:p>
          <w:p w14:paraId="1949ABF4" w14:textId="77777777" w:rsidR="006A06FC" w:rsidRPr="00DD57E3" w:rsidRDefault="0003488E" w:rsidP="0003488E">
            <w:pPr>
              <w:tabs>
                <w:tab w:val="left" w:pos="884"/>
                <w:tab w:val="left" w:pos="1196"/>
              </w:tabs>
              <w:suppressAutoHyphens/>
              <w:spacing w:before="100" w:after="100" w:line="240" w:lineRule="auto"/>
              <w:jc w:val="right"/>
              <w:rPr>
                <w:rFonts w:ascii="Times New Roman" w:eastAsiaTheme="minorEastAsia" w:hAnsi="Times New Roman" w:cs="Times New Roman"/>
                <w:i/>
                <w:sz w:val="24"/>
                <w:szCs w:val="24"/>
                <w:lang w:val="ro-MD" w:eastAsia="ar-SA"/>
              </w:rPr>
            </w:pPr>
            <w:r w:rsidRPr="00DD57E3">
              <w:rPr>
                <w:rFonts w:ascii="Times New Roman" w:eastAsiaTheme="minorEastAsia" w:hAnsi="Times New Roman" w:cs="Times New Roman"/>
                <w:i/>
                <w:sz w:val="24"/>
                <w:szCs w:val="24"/>
                <w:lang w:val="ro-MD" w:eastAsia="ar-SA"/>
              </w:rPr>
              <w:t>Tabel</w:t>
            </w:r>
            <w:r w:rsidR="0008260C" w:rsidRPr="00DD57E3">
              <w:rPr>
                <w:rFonts w:ascii="Times New Roman" w:eastAsiaTheme="minorEastAsia" w:hAnsi="Times New Roman" w:cs="Times New Roman"/>
                <w:i/>
                <w:sz w:val="24"/>
                <w:szCs w:val="24"/>
                <w:lang w:val="ro-MD" w:eastAsia="ar-SA"/>
              </w:rPr>
              <w:t xml:space="preserve"> 6</w:t>
            </w:r>
            <w:r w:rsidRPr="00DD57E3">
              <w:rPr>
                <w:rFonts w:ascii="Times New Roman" w:eastAsiaTheme="minorEastAsia" w:hAnsi="Times New Roman" w:cs="Times New Roman"/>
                <w:i/>
                <w:sz w:val="24"/>
                <w:szCs w:val="24"/>
                <w:lang w:val="ro-MD" w:eastAsia="ar-SA"/>
              </w:rPr>
              <w:t xml:space="preserve">. Prognoza achizițiilor publice, numărul de vehicule care urmează să fie achiziționate </w:t>
            </w:r>
          </w:p>
          <w:p w14:paraId="24AAAF37" w14:textId="25145D3D" w:rsidR="0003488E" w:rsidRPr="00DD57E3" w:rsidRDefault="0003488E" w:rsidP="0003488E">
            <w:pPr>
              <w:tabs>
                <w:tab w:val="left" w:pos="884"/>
                <w:tab w:val="left" w:pos="1196"/>
              </w:tabs>
              <w:suppressAutoHyphens/>
              <w:spacing w:before="100" w:after="100" w:line="240" w:lineRule="auto"/>
              <w:jc w:val="right"/>
              <w:rPr>
                <w:rFonts w:ascii="Times New Roman" w:eastAsiaTheme="minorEastAsia" w:hAnsi="Times New Roman" w:cs="Times New Roman"/>
                <w:i/>
                <w:sz w:val="24"/>
                <w:szCs w:val="24"/>
                <w:lang w:val="ro-MD" w:eastAsia="ar-SA"/>
              </w:rPr>
            </w:pPr>
            <w:r w:rsidRPr="00DD57E3">
              <w:rPr>
                <w:rFonts w:ascii="Times New Roman" w:eastAsiaTheme="minorEastAsia" w:hAnsi="Times New Roman" w:cs="Times New Roman"/>
                <w:i/>
                <w:sz w:val="24"/>
                <w:szCs w:val="24"/>
                <w:lang w:val="ro-MD" w:eastAsia="ar-SA"/>
              </w:rPr>
              <w:t>în perioada 2026-2030</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42"/>
              <w:gridCol w:w="992"/>
              <w:gridCol w:w="1276"/>
              <w:gridCol w:w="1134"/>
              <w:gridCol w:w="1275"/>
              <w:gridCol w:w="1134"/>
              <w:gridCol w:w="1215"/>
            </w:tblGrid>
            <w:tr w:rsidR="0003488E" w:rsidRPr="00DD57E3" w14:paraId="34AB6164" w14:textId="77777777" w:rsidTr="0008260C">
              <w:trPr>
                <w:trHeight w:val="20"/>
                <w:jc w:val="center"/>
              </w:trPr>
              <w:tc>
                <w:tcPr>
                  <w:tcW w:w="1942" w:type="dxa"/>
                  <w:vMerge w:val="restart"/>
                  <w:shd w:val="clear" w:color="auto" w:fill="auto"/>
                  <w:vAlign w:val="center"/>
                  <w:hideMark/>
                </w:tcPr>
                <w:p w14:paraId="43109145" w14:textId="77777777" w:rsidR="0003488E" w:rsidRPr="00DD57E3" w:rsidRDefault="0003488E" w:rsidP="0003488E">
                  <w:pPr>
                    <w:spacing w:after="0" w:line="240" w:lineRule="auto"/>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Prognoza achizițiilor publice, nr. de unități de transport</w:t>
                  </w:r>
                </w:p>
              </w:tc>
              <w:tc>
                <w:tcPr>
                  <w:tcW w:w="2268" w:type="dxa"/>
                  <w:gridSpan w:val="2"/>
                  <w:shd w:val="clear" w:color="000000" w:fill="D9D9D9"/>
                  <w:noWrap/>
                  <w:vAlign w:val="center"/>
                  <w:hideMark/>
                </w:tcPr>
                <w:p w14:paraId="6DA1D80F" w14:textId="4F5C1ECB"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V</w:t>
                  </w:r>
                  <w:r w:rsidR="007573BB" w:rsidRPr="00DD57E3">
                    <w:rPr>
                      <w:rFonts w:ascii="Times New Roman" w:eastAsia="Times New Roman" w:hAnsi="Times New Roman" w:cs="Times New Roman"/>
                      <w:b/>
                      <w:color w:val="000000"/>
                      <w:lang w:val="ro-MD"/>
                    </w:rPr>
                    <w:t>U</w:t>
                  </w:r>
                  <w:r w:rsidRPr="00DD57E3">
                    <w:rPr>
                      <w:rFonts w:ascii="Times New Roman" w:eastAsia="Times New Roman" w:hAnsi="Times New Roman" w:cs="Times New Roman"/>
                      <w:b/>
                      <w:color w:val="000000"/>
                      <w:lang w:val="ro-MD"/>
                    </w:rPr>
                    <w:t xml:space="preserve"> (M1 si M2 si N1)</w:t>
                  </w:r>
                </w:p>
              </w:tc>
              <w:tc>
                <w:tcPr>
                  <w:tcW w:w="2409" w:type="dxa"/>
                  <w:gridSpan w:val="2"/>
                  <w:shd w:val="clear" w:color="000000" w:fill="D9D9D9"/>
                  <w:noWrap/>
                  <w:vAlign w:val="center"/>
                  <w:hideMark/>
                </w:tcPr>
                <w:p w14:paraId="74EAA90A" w14:textId="1C162F2F"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V</w:t>
                  </w:r>
                  <w:r w:rsidR="007573BB" w:rsidRPr="00DD57E3">
                    <w:rPr>
                      <w:rFonts w:ascii="Times New Roman" w:eastAsia="Times New Roman" w:hAnsi="Times New Roman" w:cs="Times New Roman"/>
                      <w:b/>
                      <w:color w:val="000000"/>
                      <w:lang w:val="ro-MD"/>
                    </w:rPr>
                    <w:t>G</w:t>
                  </w:r>
                  <w:r w:rsidRPr="00DD57E3">
                    <w:rPr>
                      <w:rFonts w:ascii="Times New Roman" w:eastAsia="Times New Roman" w:hAnsi="Times New Roman" w:cs="Times New Roman"/>
                      <w:b/>
                      <w:color w:val="000000"/>
                      <w:lang w:val="ro-MD"/>
                    </w:rPr>
                    <w:t xml:space="preserve"> (N2 si N3)</w:t>
                  </w:r>
                </w:p>
              </w:tc>
              <w:tc>
                <w:tcPr>
                  <w:tcW w:w="2349" w:type="dxa"/>
                  <w:gridSpan w:val="2"/>
                  <w:shd w:val="clear" w:color="000000" w:fill="D9D9D9"/>
                  <w:noWrap/>
                  <w:vAlign w:val="center"/>
                  <w:hideMark/>
                </w:tcPr>
                <w:p w14:paraId="6963CC8E" w14:textId="61885E66" w:rsidR="0003488E" w:rsidRPr="00DD57E3" w:rsidRDefault="007573BB"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bCs/>
                      <w:color w:val="000000"/>
                      <w:lang w:val="ro-MD"/>
                    </w:rPr>
                    <w:t>BUS</w:t>
                  </w:r>
                  <w:r w:rsidRPr="00DD57E3">
                    <w:rPr>
                      <w:rFonts w:ascii="Times New Roman" w:eastAsia="Times New Roman" w:hAnsi="Times New Roman" w:cs="Times New Roman"/>
                      <w:b/>
                      <w:color w:val="000000"/>
                      <w:lang w:val="ro-MD"/>
                    </w:rPr>
                    <w:t xml:space="preserve"> </w:t>
                  </w:r>
                  <w:r w:rsidR="0003488E" w:rsidRPr="00DD57E3">
                    <w:rPr>
                      <w:rFonts w:ascii="Times New Roman" w:eastAsia="Times New Roman" w:hAnsi="Times New Roman" w:cs="Times New Roman"/>
                      <w:b/>
                      <w:color w:val="000000"/>
                      <w:lang w:val="ro-MD"/>
                    </w:rPr>
                    <w:t>(M3)</w:t>
                  </w:r>
                </w:p>
              </w:tc>
            </w:tr>
            <w:tr w:rsidR="0003488E" w:rsidRPr="00DD57E3" w14:paraId="45A43CEF" w14:textId="77777777" w:rsidTr="0008260C">
              <w:trPr>
                <w:trHeight w:val="20"/>
                <w:jc w:val="center"/>
              </w:trPr>
              <w:tc>
                <w:tcPr>
                  <w:tcW w:w="1942" w:type="dxa"/>
                  <w:vMerge/>
                  <w:vAlign w:val="center"/>
                  <w:hideMark/>
                </w:tcPr>
                <w:p w14:paraId="2DC41232" w14:textId="77777777" w:rsidR="0003488E" w:rsidRPr="00DD57E3" w:rsidRDefault="0003488E" w:rsidP="0003488E">
                  <w:pPr>
                    <w:spacing w:after="0" w:line="240" w:lineRule="auto"/>
                    <w:rPr>
                      <w:rFonts w:ascii="Times New Roman" w:eastAsia="Times New Roman" w:hAnsi="Times New Roman" w:cs="Times New Roman"/>
                      <w:b/>
                      <w:color w:val="000000"/>
                      <w:lang w:val="ro-MD"/>
                    </w:rPr>
                  </w:pPr>
                </w:p>
              </w:tc>
              <w:tc>
                <w:tcPr>
                  <w:tcW w:w="992" w:type="dxa"/>
                  <w:shd w:val="clear" w:color="000000" w:fill="D9D9D9"/>
                  <w:noWrap/>
                  <w:vAlign w:val="center"/>
                  <w:hideMark/>
                </w:tcPr>
                <w:p w14:paraId="55FACBF9" w14:textId="77777777"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Poluante</w:t>
                  </w:r>
                </w:p>
              </w:tc>
              <w:tc>
                <w:tcPr>
                  <w:tcW w:w="1276" w:type="dxa"/>
                  <w:shd w:val="clear" w:color="000000" w:fill="D9D9D9"/>
                  <w:noWrap/>
                  <w:vAlign w:val="center"/>
                  <w:hideMark/>
                </w:tcPr>
                <w:p w14:paraId="116FF80F" w14:textId="77777777"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Nepoluante</w:t>
                  </w:r>
                </w:p>
              </w:tc>
              <w:tc>
                <w:tcPr>
                  <w:tcW w:w="1134" w:type="dxa"/>
                  <w:shd w:val="clear" w:color="000000" w:fill="D9D9D9"/>
                  <w:noWrap/>
                  <w:vAlign w:val="center"/>
                  <w:hideMark/>
                </w:tcPr>
                <w:p w14:paraId="0F8C20CF" w14:textId="77777777"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Poluante</w:t>
                  </w:r>
                </w:p>
              </w:tc>
              <w:tc>
                <w:tcPr>
                  <w:tcW w:w="1275" w:type="dxa"/>
                  <w:shd w:val="clear" w:color="000000" w:fill="D9D9D9"/>
                  <w:noWrap/>
                  <w:vAlign w:val="center"/>
                  <w:hideMark/>
                </w:tcPr>
                <w:p w14:paraId="0DD35202" w14:textId="77777777"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Nepoluante</w:t>
                  </w:r>
                </w:p>
              </w:tc>
              <w:tc>
                <w:tcPr>
                  <w:tcW w:w="1134" w:type="dxa"/>
                  <w:shd w:val="clear" w:color="000000" w:fill="D9D9D9"/>
                  <w:noWrap/>
                  <w:vAlign w:val="center"/>
                  <w:hideMark/>
                </w:tcPr>
                <w:p w14:paraId="7EFDE207" w14:textId="77777777"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Poluante</w:t>
                  </w:r>
                </w:p>
              </w:tc>
              <w:tc>
                <w:tcPr>
                  <w:tcW w:w="1215" w:type="dxa"/>
                  <w:shd w:val="clear" w:color="000000" w:fill="D9D9D9"/>
                  <w:noWrap/>
                  <w:vAlign w:val="center"/>
                  <w:hideMark/>
                </w:tcPr>
                <w:p w14:paraId="6CD5156F" w14:textId="77777777" w:rsidR="0003488E" w:rsidRPr="00DD57E3" w:rsidRDefault="0003488E" w:rsidP="0003488E">
                  <w:pPr>
                    <w:spacing w:after="0" w:line="240" w:lineRule="auto"/>
                    <w:jc w:val="center"/>
                    <w:rPr>
                      <w:rFonts w:ascii="Times New Roman" w:eastAsia="Times New Roman" w:hAnsi="Times New Roman" w:cs="Times New Roman"/>
                      <w:b/>
                      <w:color w:val="000000"/>
                      <w:lang w:val="ro-MD"/>
                    </w:rPr>
                  </w:pPr>
                  <w:r w:rsidRPr="00DD57E3">
                    <w:rPr>
                      <w:rFonts w:ascii="Times New Roman" w:eastAsia="Times New Roman" w:hAnsi="Times New Roman" w:cs="Times New Roman"/>
                      <w:b/>
                      <w:color w:val="000000"/>
                      <w:lang w:val="ro-MD"/>
                    </w:rPr>
                    <w:t>Nepoluante</w:t>
                  </w:r>
                </w:p>
              </w:tc>
            </w:tr>
            <w:tr w:rsidR="0003488E" w:rsidRPr="00DD57E3" w14:paraId="2F1FF561" w14:textId="77777777" w:rsidTr="0008260C">
              <w:trPr>
                <w:trHeight w:val="20"/>
                <w:jc w:val="center"/>
              </w:trPr>
              <w:tc>
                <w:tcPr>
                  <w:tcW w:w="1942" w:type="dxa"/>
                  <w:shd w:val="clear" w:color="auto" w:fill="auto"/>
                  <w:vAlign w:val="center"/>
                  <w:hideMark/>
                </w:tcPr>
                <w:p w14:paraId="48C26F2C"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Scenariu "de a face nimic" (BAU)</w:t>
                  </w:r>
                </w:p>
              </w:tc>
              <w:tc>
                <w:tcPr>
                  <w:tcW w:w="992" w:type="dxa"/>
                  <w:shd w:val="clear" w:color="auto" w:fill="auto"/>
                  <w:vAlign w:val="center"/>
                  <w:hideMark/>
                </w:tcPr>
                <w:p w14:paraId="662FB65C" w14:textId="686E0556"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15</w:t>
                  </w:r>
                  <w:r w:rsidR="0003488E" w:rsidRPr="00DD57E3">
                    <w:rPr>
                      <w:rFonts w:ascii="Times New Roman" w:eastAsia="Times New Roman" w:hAnsi="Times New Roman" w:cs="Times New Roman"/>
                      <w:color w:val="000000"/>
                      <w:lang w:val="ro-MD"/>
                    </w:rPr>
                    <w:t>33*</w:t>
                  </w:r>
                </w:p>
              </w:tc>
              <w:tc>
                <w:tcPr>
                  <w:tcW w:w="1276" w:type="dxa"/>
                  <w:shd w:val="clear" w:color="auto" w:fill="auto"/>
                  <w:vAlign w:val="center"/>
                  <w:hideMark/>
                </w:tcPr>
                <w:p w14:paraId="4F73DD49"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w:t>
                  </w:r>
                </w:p>
              </w:tc>
              <w:tc>
                <w:tcPr>
                  <w:tcW w:w="1134" w:type="dxa"/>
                  <w:shd w:val="clear" w:color="auto" w:fill="auto"/>
                  <w:vAlign w:val="center"/>
                  <w:hideMark/>
                </w:tcPr>
                <w:p w14:paraId="2AFD08A5" w14:textId="5FCFB1BF"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223</w:t>
                  </w:r>
                </w:p>
              </w:tc>
              <w:tc>
                <w:tcPr>
                  <w:tcW w:w="1275" w:type="dxa"/>
                  <w:shd w:val="clear" w:color="auto" w:fill="auto"/>
                  <w:vAlign w:val="center"/>
                  <w:hideMark/>
                </w:tcPr>
                <w:p w14:paraId="48417496"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0</w:t>
                  </w:r>
                </w:p>
              </w:tc>
              <w:tc>
                <w:tcPr>
                  <w:tcW w:w="1134" w:type="dxa"/>
                  <w:shd w:val="clear" w:color="auto" w:fill="auto"/>
                  <w:vAlign w:val="center"/>
                  <w:hideMark/>
                </w:tcPr>
                <w:p w14:paraId="122285BF" w14:textId="3DE2CFBE"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114</w:t>
                  </w:r>
                  <w:r w:rsidR="0003488E" w:rsidRPr="00DD57E3">
                    <w:rPr>
                      <w:rFonts w:ascii="Times New Roman" w:eastAsia="Times New Roman" w:hAnsi="Times New Roman" w:cs="Times New Roman"/>
                      <w:color w:val="000000"/>
                      <w:lang w:val="ro-MD"/>
                    </w:rPr>
                    <w:t>**</w:t>
                  </w:r>
                </w:p>
              </w:tc>
              <w:tc>
                <w:tcPr>
                  <w:tcW w:w="1215" w:type="dxa"/>
                  <w:shd w:val="clear" w:color="auto" w:fill="auto"/>
                  <w:vAlign w:val="center"/>
                  <w:hideMark/>
                </w:tcPr>
                <w:p w14:paraId="5171AF67"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17**</w:t>
                  </w:r>
                </w:p>
              </w:tc>
            </w:tr>
            <w:tr w:rsidR="0003488E" w:rsidRPr="00DD57E3" w14:paraId="069012CF" w14:textId="77777777" w:rsidTr="0008260C">
              <w:trPr>
                <w:trHeight w:val="20"/>
                <w:jc w:val="center"/>
              </w:trPr>
              <w:tc>
                <w:tcPr>
                  <w:tcW w:w="1942" w:type="dxa"/>
                  <w:shd w:val="clear" w:color="auto" w:fill="auto"/>
                  <w:vAlign w:val="center"/>
                  <w:hideMark/>
                </w:tcPr>
                <w:p w14:paraId="1747118F"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Scenariu moderat</w:t>
                  </w:r>
                </w:p>
              </w:tc>
              <w:tc>
                <w:tcPr>
                  <w:tcW w:w="992" w:type="dxa"/>
                  <w:shd w:val="clear" w:color="auto" w:fill="auto"/>
                  <w:vAlign w:val="center"/>
                  <w:hideMark/>
                </w:tcPr>
                <w:p w14:paraId="1C795625" w14:textId="41488051"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1326</w:t>
                  </w:r>
                </w:p>
              </w:tc>
              <w:tc>
                <w:tcPr>
                  <w:tcW w:w="1276" w:type="dxa"/>
                  <w:shd w:val="clear" w:color="auto" w:fill="auto"/>
                  <w:vAlign w:val="center"/>
                  <w:hideMark/>
                </w:tcPr>
                <w:p w14:paraId="75EA8FF2" w14:textId="156F8A88"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207</w:t>
                  </w:r>
                </w:p>
              </w:tc>
              <w:tc>
                <w:tcPr>
                  <w:tcW w:w="1134" w:type="dxa"/>
                  <w:shd w:val="clear" w:color="auto" w:fill="auto"/>
                  <w:vAlign w:val="center"/>
                  <w:hideMark/>
                </w:tcPr>
                <w:p w14:paraId="42A13432" w14:textId="7322347B"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212</w:t>
                  </w:r>
                </w:p>
              </w:tc>
              <w:tc>
                <w:tcPr>
                  <w:tcW w:w="1275" w:type="dxa"/>
                  <w:shd w:val="clear" w:color="auto" w:fill="auto"/>
                  <w:vAlign w:val="center"/>
                  <w:hideMark/>
                </w:tcPr>
                <w:p w14:paraId="3D5C309D" w14:textId="024451EA"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11</w:t>
                  </w:r>
                </w:p>
              </w:tc>
              <w:tc>
                <w:tcPr>
                  <w:tcW w:w="1134" w:type="dxa"/>
                  <w:shd w:val="clear" w:color="auto" w:fill="auto"/>
                  <w:vAlign w:val="center"/>
                  <w:hideMark/>
                </w:tcPr>
                <w:p w14:paraId="14C1D7B2" w14:textId="120741F9"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113</w:t>
                  </w:r>
                </w:p>
              </w:tc>
              <w:tc>
                <w:tcPr>
                  <w:tcW w:w="1215" w:type="dxa"/>
                  <w:shd w:val="clear" w:color="auto" w:fill="auto"/>
                  <w:vAlign w:val="center"/>
                  <w:hideMark/>
                </w:tcPr>
                <w:p w14:paraId="6B7C8747"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18</w:t>
                  </w:r>
                </w:p>
              </w:tc>
            </w:tr>
            <w:tr w:rsidR="0003488E" w:rsidRPr="00DD57E3" w14:paraId="08DB4754" w14:textId="77777777" w:rsidTr="0008260C">
              <w:trPr>
                <w:trHeight w:val="20"/>
                <w:jc w:val="center"/>
              </w:trPr>
              <w:tc>
                <w:tcPr>
                  <w:tcW w:w="1942" w:type="dxa"/>
                  <w:shd w:val="clear" w:color="auto" w:fill="auto"/>
                  <w:vAlign w:val="center"/>
                  <w:hideMark/>
                </w:tcPr>
                <w:p w14:paraId="7DE5D26C"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Scenariu optimist</w:t>
                  </w:r>
                </w:p>
              </w:tc>
              <w:tc>
                <w:tcPr>
                  <w:tcW w:w="992" w:type="dxa"/>
                  <w:shd w:val="clear" w:color="auto" w:fill="auto"/>
                  <w:vAlign w:val="center"/>
                  <w:hideMark/>
                </w:tcPr>
                <w:p w14:paraId="74C68426" w14:textId="3B7A9745"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1374</w:t>
                  </w:r>
                </w:p>
              </w:tc>
              <w:tc>
                <w:tcPr>
                  <w:tcW w:w="1276" w:type="dxa"/>
                  <w:shd w:val="clear" w:color="auto" w:fill="auto"/>
                  <w:vAlign w:val="center"/>
                  <w:hideMark/>
                </w:tcPr>
                <w:p w14:paraId="7EC89D03"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159</w:t>
                  </w:r>
                </w:p>
              </w:tc>
              <w:tc>
                <w:tcPr>
                  <w:tcW w:w="1134" w:type="dxa"/>
                  <w:shd w:val="clear" w:color="auto" w:fill="auto"/>
                  <w:vAlign w:val="center"/>
                  <w:hideMark/>
                </w:tcPr>
                <w:p w14:paraId="713C7BFD" w14:textId="690A0A2E"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210</w:t>
                  </w:r>
                </w:p>
              </w:tc>
              <w:tc>
                <w:tcPr>
                  <w:tcW w:w="1275" w:type="dxa"/>
                  <w:shd w:val="clear" w:color="auto" w:fill="auto"/>
                  <w:vAlign w:val="center"/>
                  <w:hideMark/>
                </w:tcPr>
                <w:p w14:paraId="386D9B83" w14:textId="413577EE"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13</w:t>
                  </w:r>
                </w:p>
              </w:tc>
              <w:tc>
                <w:tcPr>
                  <w:tcW w:w="1134" w:type="dxa"/>
                  <w:shd w:val="clear" w:color="auto" w:fill="auto"/>
                  <w:vAlign w:val="center"/>
                  <w:hideMark/>
                </w:tcPr>
                <w:p w14:paraId="5FF3BB24" w14:textId="21098278" w:rsidR="0003488E" w:rsidRPr="00DD57E3" w:rsidRDefault="0055021C"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71</w:t>
                  </w:r>
                </w:p>
              </w:tc>
              <w:tc>
                <w:tcPr>
                  <w:tcW w:w="1215" w:type="dxa"/>
                  <w:shd w:val="clear" w:color="auto" w:fill="auto"/>
                  <w:vAlign w:val="center"/>
                  <w:hideMark/>
                </w:tcPr>
                <w:p w14:paraId="245F4A04" w14:textId="77777777" w:rsidR="0003488E" w:rsidRPr="00DD57E3" w:rsidRDefault="0003488E" w:rsidP="0003488E">
                  <w:pPr>
                    <w:spacing w:after="0" w:line="240" w:lineRule="auto"/>
                    <w:rPr>
                      <w:rFonts w:ascii="Times New Roman" w:eastAsia="Times New Roman" w:hAnsi="Times New Roman" w:cs="Times New Roman"/>
                      <w:color w:val="000000"/>
                      <w:lang w:val="ro-MD"/>
                    </w:rPr>
                  </w:pPr>
                  <w:r w:rsidRPr="00DD57E3">
                    <w:rPr>
                      <w:rFonts w:ascii="Times New Roman" w:eastAsia="Times New Roman" w:hAnsi="Times New Roman" w:cs="Times New Roman"/>
                      <w:color w:val="000000"/>
                      <w:lang w:val="ro-MD"/>
                    </w:rPr>
                    <w:t>60</w:t>
                  </w:r>
                </w:p>
              </w:tc>
            </w:tr>
          </w:tbl>
          <w:p w14:paraId="0BF03663" w14:textId="77777777" w:rsidR="0003488E" w:rsidRPr="00DD57E3" w:rsidRDefault="0003488E" w:rsidP="0003488E">
            <w:pPr>
              <w:tabs>
                <w:tab w:val="left" w:pos="884"/>
                <w:tab w:val="left" w:pos="1196"/>
              </w:tabs>
              <w:suppressAutoHyphens/>
              <w:spacing w:before="100" w:after="100" w:line="240" w:lineRule="auto"/>
              <w:ind w:left="720"/>
              <w:jc w:val="both"/>
              <w:rPr>
                <w:rFonts w:ascii="Times New Roman" w:eastAsiaTheme="minorEastAsia" w:hAnsi="Times New Roman" w:cs="Times New Roman"/>
                <w:bCs/>
                <w:iCs/>
                <w:kern w:val="2"/>
                <w:sz w:val="24"/>
                <w:szCs w:val="24"/>
                <w:lang w:val="ro-MD" w:eastAsia="ar-SA"/>
                <w14:ligatures w14:val="standardContextual"/>
              </w:rPr>
            </w:pPr>
            <w:r w:rsidRPr="00DD57E3">
              <w:rPr>
                <w:rFonts w:ascii="Times New Roman" w:eastAsiaTheme="minorEastAsia" w:hAnsi="Times New Roman" w:cs="Times New Roman"/>
                <w:bCs/>
                <w:iCs/>
                <w:kern w:val="2"/>
                <w:sz w:val="24"/>
                <w:szCs w:val="24"/>
                <w:lang w:val="ro-MD" w:eastAsia="ar-SA"/>
                <w14:ligatures w14:val="standardContextual"/>
              </w:rPr>
              <w:t xml:space="preserve"> * Inclusiv 55 microbuze prevăzute în orașele poli de creștere</w:t>
            </w:r>
          </w:p>
          <w:p w14:paraId="1963353B" w14:textId="77777777" w:rsidR="0003488E" w:rsidRPr="00DD57E3" w:rsidRDefault="0003488E" w:rsidP="0003488E">
            <w:pPr>
              <w:pStyle w:val="a4"/>
              <w:tabs>
                <w:tab w:val="left" w:pos="884"/>
                <w:tab w:val="left" w:pos="1196"/>
              </w:tabs>
              <w:suppressAutoHyphens/>
              <w:spacing w:before="100" w:after="100" w:line="240" w:lineRule="auto"/>
              <w:jc w:val="both"/>
              <w:rPr>
                <w:rFonts w:eastAsiaTheme="minorEastAsia" w:cs="Times New Roman"/>
                <w:bCs/>
                <w:iCs/>
                <w:szCs w:val="24"/>
                <w:lang w:val="ro-MD" w:eastAsia="ar-SA"/>
              </w:rPr>
            </w:pPr>
            <w:r w:rsidRPr="00DD57E3">
              <w:rPr>
                <w:rFonts w:eastAsiaTheme="minorEastAsia" w:cs="Times New Roman"/>
                <w:bCs/>
                <w:iCs/>
                <w:szCs w:val="24"/>
                <w:lang w:val="ro-MD" w:eastAsia="ar-SA"/>
              </w:rPr>
              <w:t>** Inclusiv 17 autobuze electrice conform Planului de Mobilitate Urbană Durabilă pentru Cahul</w:t>
            </w:r>
          </w:p>
          <w:p w14:paraId="0DFDD3EE"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Scenariul BAU menține status quo-ul și nu stimulează adoptarea vehiculelor nepoluante, având un impact negativ asupra calității aerului. Scenariul moderat oferă un echilibru între fezabilitate economică și necesitatea de a reduce emisiile, stabilind ținte realiste și asigurând o tranziție progresivă. Scenariul optimist maximizează beneficiile de mediu și alinierea la standardele europene, dar presupune eforturi considerabile în implementare și finanțare.</w:t>
            </w:r>
          </w:p>
          <w:p w14:paraId="5DB80D7A" w14:textId="77777777" w:rsidR="0003488E" w:rsidRPr="00DD57E3" w:rsidRDefault="0003488E"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Decizia finală privind scenariul ales trebuie să ia în considerare capacitatea financiară a autorităților publice, disponibilitatea surselor de finanțare externe și gradul de maturitate al infrastructurii necesare pentru vehiculele nepoluante.</w:t>
            </w:r>
          </w:p>
          <w:p w14:paraId="7E5B5FEA" w14:textId="7E93F86A" w:rsidR="00D91B9B" w:rsidRPr="00DD57E3" w:rsidRDefault="00D91B9B">
            <w:pPr>
              <w:spacing w:before="120" w:after="0" w:line="240" w:lineRule="auto"/>
              <w:jc w:val="both"/>
              <w:rPr>
                <w:rFonts w:ascii="Times New Roman" w:hAnsi="Times New Roman" w:cs="Times New Roman"/>
                <w:iCs/>
                <w:sz w:val="24"/>
                <w:szCs w:val="24"/>
                <w:lang w:val="ro-MD"/>
              </w:rPr>
            </w:pPr>
            <w:r w:rsidRPr="00DD57E3">
              <w:rPr>
                <w:rFonts w:ascii="Times New Roman" w:hAnsi="Times New Roman" w:cs="Times New Roman"/>
                <w:iCs/>
                <w:sz w:val="24"/>
                <w:szCs w:val="24"/>
                <w:lang w:val="ro-MD"/>
              </w:rPr>
              <w:t>În concluzie, prin prezentul act normativ se dore</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te stimularea achizi</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iilor de </w:t>
            </w:r>
            <w:r w:rsidR="00BB33B9" w:rsidRPr="00DD57E3">
              <w:rPr>
                <w:rFonts w:ascii="Times New Roman" w:hAnsi="Times New Roman" w:cs="Times New Roman"/>
                <w:iCs/>
                <w:sz w:val="24"/>
                <w:szCs w:val="24"/>
                <w:lang w:val="ro-MD"/>
              </w:rPr>
              <w:t xml:space="preserve">mijloace de transport </w:t>
            </w:r>
            <w:r w:rsidRPr="00DD57E3">
              <w:rPr>
                <w:rFonts w:ascii="Times New Roman" w:hAnsi="Times New Roman" w:cs="Times New Roman"/>
                <w:iCs/>
                <w:sz w:val="24"/>
                <w:szCs w:val="24"/>
                <w:lang w:val="ro-MD"/>
              </w:rPr>
              <w:t>nepoluante, în sprijinul unei mobilită</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 cu emisii scăzute, care constituie o alternativă la autovehicule care utilizează combustibili fosili, ce contribuie semnificativ la poluarea mediului. Aceste aspecte comportă valen</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e noi fa</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ă de prevederile în materie ce se regăsesc reglementate în prezent la nivelul legisla</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iei na</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ionale. </w:t>
            </w:r>
          </w:p>
          <w:p w14:paraId="4BC9CE66" w14:textId="4EDD5A17" w:rsidR="00D91B9B" w:rsidRPr="00DD57E3" w:rsidRDefault="00D91B9B">
            <w:pPr>
              <w:tabs>
                <w:tab w:val="left" w:pos="884"/>
                <w:tab w:val="left" w:pos="1196"/>
              </w:tabs>
              <w:suppressAutoHyphens/>
              <w:spacing w:before="100" w:after="100" w:line="240" w:lineRule="auto"/>
              <w:jc w:val="both"/>
              <w:rPr>
                <w:rFonts w:ascii="Times New Roman" w:hAnsi="Times New Roman" w:cs="Times New Roman"/>
                <w:noProof/>
                <w:sz w:val="24"/>
                <w:szCs w:val="24"/>
                <w:lang w:val="ro-MD"/>
              </w:rPr>
            </w:pPr>
            <w:r w:rsidRPr="00DD57E3">
              <w:rPr>
                <w:rFonts w:ascii="Times New Roman" w:hAnsi="Times New Roman" w:cs="Times New Roman"/>
                <w:noProof/>
                <w:sz w:val="24"/>
                <w:szCs w:val="24"/>
                <w:lang w:val="ro-MD"/>
              </w:rPr>
              <w:t xml:space="preserve">Astfel, pentru atingerea obiectivelor proiectului de lege se impune utilizarea unor instrumente legislative flexibile. </w:t>
            </w:r>
          </w:p>
          <w:p w14:paraId="17FFEACF" w14:textId="54175D27" w:rsidR="00D91B9B" w:rsidRPr="00DD57E3" w:rsidRDefault="00D91B9B" w:rsidP="00D91B9B">
            <w:pPr>
              <w:pStyle w:val="a4"/>
              <w:numPr>
                <w:ilvl w:val="1"/>
                <w:numId w:val="2"/>
              </w:numPr>
              <w:spacing w:after="0" w:line="240" w:lineRule="auto"/>
              <w:ind w:left="519" w:hanging="418"/>
              <w:jc w:val="both"/>
              <w:rPr>
                <w:rFonts w:cs="Times New Roman"/>
                <w:b/>
                <w:bCs/>
                <w:i/>
                <w:szCs w:val="24"/>
                <w:lang w:val="ro-MD"/>
              </w:rPr>
            </w:pPr>
            <w:bookmarkStart w:id="7" w:name="_Hlk191386198"/>
            <w:r w:rsidRPr="00DD57E3">
              <w:rPr>
                <w:rFonts w:cs="Times New Roman"/>
                <w:b/>
                <w:bCs/>
                <w:i/>
                <w:szCs w:val="24"/>
                <w:lang w:val="ro-MD"/>
              </w:rPr>
              <w:t>Op</w:t>
            </w:r>
            <w:r w:rsidR="00D84F0C" w:rsidRPr="00DD57E3">
              <w:rPr>
                <w:rFonts w:cs="Times New Roman"/>
                <w:b/>
                <w:bCs/>
                <w:i/>
                <w:szCs w:val="24"/>
                <w:lang w:val="ro-MD"/>
              </w:rPr>
              <w:t>ț</w:t>
            </w:r>
            <w:r w:rsidRPr="00DD57E3">
              <w:rPr>
                <w:rFonts w:cs="Times New Roman"/>
                <w:b/>
                <w:bCs/>
                <w:i/>
                <w:szCs w:val="24"/>
                <w:lang w:val="ro-MD"/>
              </w:rPr>
              <w:t xml:space="preserve">iunile alternative analizate </w:t>
            </w:r>
            <w:r w:rsidR="00D84F0C" w:rsidRPr="00DD57E3">
              <w:rPr>
                <w:rFonts w:cs="Times New Roman"/>
                <w:b/>
                <w:bCs/>
                <w:i/>
                <w:szCs w:val="24"/>
                <w:lang w:val="ro-MD"/>
              </w:rPr>
              <w:t>ș</w:t>
            </w:r>
            <w:r w:rsidRPr="00DD57E3">
              <w:rPr>
                <w:rFonts w:cs="Times New Roman"/>
                <w:b/>
                <w:bCs/>
                <w:i/>
                <w:szCs w:val="24"/>
                <w:lang w:val="ro-MD"/>
              </w:rPr>
              <w:t>i motivele pentru care acestea nu au fost luate în considerare</w:t>
            </w:r>
          </w:p>
          <w:bookmarkEnd w:id="7"/>
          <w:p w14:paraId="4FDFD32D" w14:textId="57BDC181" w:rsidR="00D91B9B" w:rsidRPr="00DD57E3" w:rsidRDefault="00D91B9B">
            <w:pPr>
              <w:spacing w:before="120" w:after="60" w:line="240" w:lineRule="auto"/>
              <w:jc w:val="both"/>
              <w:rPr>
                <w:rFonts w:ascii="Times New Roman" w:hAnsi="Times New Roman" w:cs="Times New Roman"/>
                <w:iCs/>
                <w:sz w:val="24"/>
                <w:szCs w:val="24"/>
                <w:lang w:val="ro-MD"/>
              </w:rPr>
            </w:pPr>
            <w:r w:rsidRPr="00DD57E3">
              <w:rPr>
                <w:rFonts w:ascii="Times New Roman" w:hAnsi="Times New Roman" w:cs="Times New Roman"/>
                <w:iCs/>
                <w:sz w:val="24"/>
                <w:szCs w:val="24"/>
                <w:lang w:val="ro-MD"/>
              </w:rPr>
              <w:t xml:space="preserve">Necesitatea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utilitatea instituirii unor astfel de reglementări, a fost argumentată în sec</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iunile de mai sus. Op</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iunea „A nu face nimic” constă în a nu transpune Directiva 2009/33/CE, fapt ce va determina constatarea neîndeplinirii obliga</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iilor asumate de către Republica Moldova în raport cu UE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pe cale de consecin</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ă, va compromite angajamentele acesteia în cadrul negocierilor de aderare.</w:t>
            </w:r>
          </w:p>
          <w:p w14:paraId="6DE0C150" w14:textId="3408E29B" w:rsidR="00E15699" w:rsidRPr="00DD57E3" w:rsidRDefault="006312CB">
            <w:pPr>
              <w:spacing w:before="120" w:after="60" w:line="240" w:lineRule="auto"/>
              <w:jc w:val="both"/>
              <w:rPr>
                <w:rFonts w:ascii="Times New Roman" w:hAnsi="Times New Roman" w:cs="Times New Roman"/>
                <w:iCs/>
                <w:sz w:val="24"/>
                <w:szCs w:val="24"/>
                <w:lang w:val="ro-MD"/>
              </w:rPr>
            </w:pPr>
            <w:r w:rsidRPr="00DD57E3">
              <w:rPr>
                <w:rFonts w:ascii="Times New Roman" w:hAnsi="Times New Roman" w:cs="Times New Roman"/>
                <w:iCs/>
                <w:sz w:val="24"/>
                <w:szCs w:val="24"/>
                <w:lang w:val="ro-MD"/>
              </w:rPr>
              <w:t xml:space="preserve">Au fost analizate </w:t>
            </w:r>
            <w:r w:rsidR="00E15699" w:rsidRPr="00DD57E3">
              <w:rPr>
                <w:rFonts w:ascii="Times New Roman" w:hAnsi="Times New Roman" w:cs="Times New Roman"/>
                <w:iCs/>
                <w:sz w:val="24"/>
                <w:szCs w:val="24"/>
                <w:lang w:val="ro-MD"/>
              </w:rPr>
              <w:t xml:space="preserve">următoarele </w:t>
            </w:r>
            <w:r w:rsidRPr="00DD57E3">
              <w:rPr>
                <w:rFonts w:ascii="Times New Roman" w:hAnsi="Times New Roman" w:cs="Times New Roman"/>
                <w:iCs/>
                <w:sz w:val="24"/>
                <w:szCs w:val="24"/>
                <w:lang w:val="ro-MD"/>
              </w:rPr>
              <w:t>opțiuni de transpunere a Directiv</w:t>
            </w:r>
            <w:r w:rsidR="00E15699" w:rsidRPr="00DD57E3">
              <w:rPr>
                <w:rFonts w:ascii="Times New Roman" w:hAnsi="Times New Roman" w:cs="Times New Roman"/>
                <w:iCs/>
                <w:sz w:val="24"/>
                <w:szCs w:val="24"/>
                <w:lang w:val="ro-MD"/>
              </w:rPr>
              <w:t>ei</w:t>
            </w:r>
            <w:r w:rsidRPr="00DD57E3">
              <w:rPr>
                <w:rFonts w:ascii="Times New Roman" w:hAnsi="Times New Roman" w:cs="Times New Roman"/>
                <w:iCs/>
                <w:sz w:val="24"/>
                <w:szCs w:val="24"/>
                <w:lang w:val="ro-MD"/>
              </w:rPr>
              <w:t xml:space="preserve"> 2009/33/CE</w:t>
            </w:r>
            <w:r w:rsidR="00E15699" w:rsidRPr="00DD57E3">
              <w:rPr>
                <w:rFonts w:ascii="Times New Roman" w:hAnsi="Times New Roman" w:cs="Times New Roman"/>
                <w:iCs/>
                <w:sz w:val="24"/>
                <w:szCs w:val="24"/>
                <w:lang w:val="ro-MD"/>
              </w:rPr>
              <w:t>:</w:t>
            </w:r>
          </w:p>
          <w:p w14:paraId="3678FACF" w14:textId="14178D4D" w:rsidR="00E15699" w:rsidRPr="00DD57E3" w:rsidRDefault="003D6CC3" w:rsidP="00E15699">
            <w:pPr>
              <w:pStyle w:val="a4"/>
              <w:numPr>
                <w:ilvl w:val="0"/>
                <w:numId w:val="15"/>
              </w:numPr>
              <w:spacing w:before="120" w:after="60" w:line="240" w:lineRule="auto"/>
              <w:jc w:val="both"/>
              <w:rPr>
                <w:rFonts w:cs="Times New Roman"/>
                <w:iCs/>
                <w:szCs w:val="24"/>
                <w:lang w:val="ro-MD"/>
              </w:rPr>
            </w:pPr>
            <w:r w:rsidRPr="00DD57E3">
              <w:rPr>
                <w:rFonts w:cs="Times New Roman"/>
                <w:iCs/>
                <w:szCs w:val="24"/>
                <w:lang w:val="ro-MD"/>
              </w:rPr>
              <w:t>elaborarea modificărilor la cadrul legal existent în domeniul achizițiilor publice și sectoriale;</w:t>
            </w:r>
          </w:p>
          <w:p w14:paraId="04788BCB" w14:textId="69C195FE" w:rsidR="003D6CC3" w:rsidRPr="00DD57E3" w:rsidRDefault="003D6CC3" w:rsidP="00E15699">
            <w:pPr>
              <w:pStyle w:val="a4"/>
              <w:numPr>
                <w:ilvl w:val="0"/>
                <w:numId w:val="15"/>
              </w:numPr>
              <w:spacing w:before="120" w:after="60" w:line="240" w:lineRule="auto"/>
              <w:jc w:val="both"/>
              <w:rPr>
                <w:rFonts w:cs="Times New Roman"/>
                <w:iCs/>
                <w:szCs w:val="24"/>
                <w:lang w:val="ro-MD"/>
              </w:rPr>
            </w:pPr>
            <w:r w:rsidRPr="00DD57E3">
              <w:rPr>
                <w:rFonts w:cs="Times New Roman"/>
                <w:iCs/>
                <w:szCs w:val="24"/>
                <w:lang w:val="ro-MD"/>
              </w:rPr>
              <w:t>elaborarea unui act legislativ special;</w:t>
            </w:r>
          </w:p>
          <w:p w14:paraId="72ABA733" w14:textId="46304385" w:rsidR="003D6CC3" w:rsidRPr="00DD57E3" w:rsidRDefault="003D6CC3" w:rsidP="00E15699">
            <w:pPr>
              <w:pStyle w:val="a4"/>
              <w:numPr>
                <w:ilvl w:val="0"/>
                <w:numId w:val="15"/>
              </w:numPr>
              <w:spacing w:before="120" w:after="60" w:line="240" w:lineRule="auto"/>
              <w:jc w:val="both"/>
              <w:rPr>
                <w:rFonts w:cs="Times New Roman"/>
                <w:iCs/>
                <w:szCs w:val="24"/>
                <w:lang w:val="ro-MD"/>
              </w:rPr>
            </w:pPr>
            <w:r w:rsidRPr="00DD57E3">
              <w:rPr>
                <w:rFonts w:cs="Times New Roman"/>
                <w:iCs/>
                <w:szCs w:val="24"/>
                <w:lang w:val="ro-MD"/>
              </w:rPr>
              <w:t>elaborarea unui act normativ secundar, hotărâre de Guvern.</w:t>
            </w:r>
          </w:p>
          <w:p w14:paraId="2FB29F8B" w14:textId="7E7EE60B" w:rsidR="003D6CC3" w:rsidRPr="00DD57E3" w:rsidRDefault="003D6CC3" w:rsidP="003D6CC3">
            <w:pPr>
              <w:spacing w:before="120" w:after="60" w:line="240" w:lineRule="auto"/>
              <w:jc w:val="both"/>
              <w:rPr>
                <w:rFonts w:ascii="Times New Roman" w:hAnsi="Times New Roman" w:cs="Times New Roman"/>
                <w:i/>
                <w:sz w:val="24"/>
                <w:szCs w:val="28"/>
                <w:lang w:val="ro-MD"/>
              </w:rPr>
            </w:pPr>
            <w:r w:rsidRPr="00DD57E3">
              <w:rPr>
                <w:rFonts w:ascii="Times New Roman" w:hAnsi="Times New Roman" w:cs="Times New Roman"/>
                <w:i/>
                <w:sz w:val="24"/>
                <w:szCs w:val="28"/>
                <w:lang w:val="ro-MD"/>
              </w:rPr>
              <w:t>1). Elaborarea modificărilor la cadrul legal existent în domeniul achizițiilor publice și sectoriale</w:t>
            </w:r>
          </w:p>
          <w:p w14:paraId="49B8A1D6" w14:textId="3D5BF990" w:rsidR="00D90828" w:rsidRPr="00DD57E3" w:rsidRDefault="00D90828" w:rsidP="00D90828">
            <w:pPr>
              <w:spacing w:before="120" w:after="60" w:line="240" w:lineRule="auto"/>
              <w:jc w:val="both"/>
              <w:rPr>
                <w:rFonts w:ascii="Times New Roman" w:hAnsi="Times New Roman" w:cs="Times New Roman"/>
                <w:sz w:val="24"/>
                <w:szCs w:val="28"/>
                <w:lang w:val="ro-MD"/>
              </w:rPr>
            </w:pPr>
            <w:r w:rsidRPr="00DD57E3">
              <w:rPr>
                <w:rFonts w:ascii="Times New Roman" w:hAnsi="Times New Roman" w:cs="Times New Roman"/>
                <w:sz w:val="24"/>
                <w:szCs w:val="28"/>
                <w:lang w:val="ro-MD"/>
              </w:rPr>
              <w:t>În rezultatul analizei cadrului legal</w:t>
            </w:r>
            <w:r w:rsidR="001F396C" w:rsidRPr="00DD57E3">
              <w:rPr>
                <w:rFonts w:ascii="Times New Roman" w:hAnsi="Times New Roman" w:cs="Times New Roman"/>
                <w:sz w:val="24"/>
                <w:szCs w:val="28"/>
                <w:lang w:val="ro-MD"/>
              </w:rPr>
              <w:t xml:space="preserve"> în domeniul achizițiilor</w:t>
            </w:r>
            <w:r w:rsidRPr="00DD57E3">
              <w:rPr>
                <w:rFonts w:ascii="Times New Roman" w:hAnsi="Times New Roman" w:cs="Times New Roman"/>
                <w:sz w:val="24"/>
                <w:szCs w:val="28"/>
                <w:lang w:val="ro-MD"/>
              </w:rPr>
              <w:t xml:space="preserve">, s-a constat </w:t>
            </w:r>
            <w:r w:rsidR="001F396C" w:rsidRPr="00DD57E3">
              <w:rPr>
                <w:rFonts w:ascii="Times New Roman" w:hAnsi="Times New Roman" w:cs="Times New Roman"/>
                <w:sz w:val="24"/>
                <w:szCs w:val="28"/>
                <w:lang w:val="ro-MD"/>
              </w:rPr>
              <w:t xml:space="preserve">că </w:t>
            </w:r>
            <w:r w:rsidRPr="00DD57E3">
              <w:rPr>
                <w:rFonts w:ascii="Times New Roman" w:hAnsi="Times New Roman" w:cs="Times New Roman"/>
                <w:sz w:val="24"/>
                <w:szCs w:val="28"/>
                <w:lang w:val="ro-MD"/>
              </w:rPr>
              <w:t>transpuner</w:t>
            </w:r>
            <w:r w:rsidR="001F396C" w:rsidRPr="00DD57E3">
              <w:rPr>
                <w:rFonts w:ascii="Times New Roman" w:hAnsi="Times New Roman" w:cs="Times New Roman"/>
                <w:sz w:val="24"/>
                <w:szCs w:val="28"/>
                <w:lang w:val="ro-MD"/>
              </w:rPr>
              <w:t>ea</w:t>
            </w:r>
            <w:r w:rsidRPr="00DD57E3">
              <w:rPr>
                <w:rFonts w:ascii="Times New Roman" w:hAnsi="Times New Roman" w:cs="Times New Roman"/>
                <w:sz w:val="24"/>
                <w:szCs w:val="28"/>
                <w:lang w:val="ro-MD"/>
              </w:rPr>
              <w:t xml:space="preserve"> Directivei 2009/33/CE </w:t>
            </w:r>
            <w:r w:rsidR="001F396C" w:rsidRPr="00DD57E3">
              <w:rPr>
                <w:rFonts w:ascii="Times New Roman" w:hAnsi="Times New Roman" w:cs="Times New Roman"/>
                <w:sz w:val="24"/>
                <w:szCs w:val="28"/>
                <w:lang w:val="ro-MD"/>
              </w:rPr>
              <w:t xml:space="preserve">prin operarea unor modificări la Legea nr. 131/2015 privind achizițiile publice și Legea nr. 74/2020 </w:t>
            </w:r>
            <w:r w:rsidR="001F396C" w:rsidRPr="00DD57E3">
              <w:rPr>
                <w:rFonts w:ascii="Times New Roman" w:hAnsi="Times New Roman" w:cs="Times New Roman"/>
                <w:bCs/>
                <w:iCs/>
                <w:sz w:val="24"/>
                <w:szCs w:val="28"/>
                <w:lang w:val="ro-MD"/>
              </w:rPr>
              <w:t>privind achizițiile în sectoarele energeticii, apei, transporturilor și serviciilor poștale,</w:t>
            </w:r>
            <w:r w:rsidR="001F396C" w:rsidRPr="00DD57E3">
              <w:rPr>
                <w:rFonts w:ascii="Times New Roman" w:hAnsi="Times New Roman" w:cs="Times New Roman"/>
                <w:sz w:val="24"/>
                <w:szCs w:val="28"/>
                <w:lang w:val="ro-MD"/>
              </w:rPr>
              <w:t xml:space="preserve"> </w:t>
            </w:r>
            <w:r w:rsidRPr="00DD57E3">
              <w:rPr>
                <w:rFonts w:ascii="Times New Roman" w:hAnsi="Times New Roman" w:cs="Times New Roman"/>
                <w:sz w:val="24"/>
                <w:szCs w:val="28"/>
                <w:lang w:val="ro-MD"/>
              </w:rPr>
              <w:t xml:space="preserve">nu este </w:t>
            </w:r>
            <w:r w:rsidR="00AD5520" w:rsidRPr="00DD57E3">
              <w:rPr>
                <w:rFonts w:ascii="Times New Roman" w:hAnsi="Times New Roman" w:cs="Times New Roman"/>
                <w:sz w:val="24"/>
                <w:szCs w:val="28"/>
                <w:lang w:val="ro-MD"/>
              </w:rPr>
              <w:t xml:space="preserve">oportună </w:t>
            </w:r>
            <w:r w:rsidRPr="00DD57E3">
              <w:rPr>
                <w:rFonts w:ascii="Times New Roman" w:hAnsi="Times New Roman" w:cs="Times New Roman"/>
                <w:sz w:val="24"/>
                <w:szCs w:val="28"/>
                <w:lang w:val="ro-MD"/>
              </w:rPr>
              <w:t>din următoarele considerente:</w:t>
            </w:r>
          </w:p>
          <w:p w14:paraId="7B6A989B" w14:textId="77777777" w:rsidR="003501CB" w:rsidRPr="00DD57E3" w:rsidRDefault="00D90828" w:rsidP="00D90828">
            <w:pPr>
              <w:spacing w:before="120" w:after="60" w:line="240" w:lineRule="auto"/>
              <w:jc w:val="both"/>
              <w:rPr>
                <w:rFonts w:ascii="Times New Roman" w:hAnsi="Times New Roman" w:cs="Times New Roman"/>
                <w:sz w:val="24"/>
                <w:szCs w:val="32"/>
                <w:lang w:val="ro-MD"/>
              </w:rPr>
            </w:pPr>
            <w:r w:rsidRPr="00DD57E3">
              <w:rPr>
                <w:rFonts w:ascii="Times New Roman" w:hAnsi="Times New Roman" w:cs="Times New Roman"/>
                <w:sz w:val="24"/>
                <w:szCs w:val="32"/>
                <w:lang w:val="ro-MD"/>
              </w:rPr>
              <w:t>Directiva 2009/33/CE</w:t>
            </w:r>
            <w:r w:rsidR="003501CB" w:rsidRPr="00DD57E3">
              <w:rPr>
                <w:rFonts w:ascii="Times New Roman" w:hAnsi="Times New Roman" w:cs="Times New Roman"/>
                <w:sz w:val="24"/>
                <w:szCs w:val="32"/>
                <w:lang w:val="ro-MD"/>
              </w:rPr>
              <w:t xml:space="preserve"> are drept obiect de reglementare obligația achiziționării unor anumite categorii de vehicule și servicii de transport rutier</w:t>
            </w:r>
            <w:r w:rsidR="0088586C" w:rsidRPr="00DD57E3">
              <w:rPr>
                <w:rFonts w:ascii="Times New Roman" w:hAnsi="Times New Roman" w:cs="Times New Roman"/>
                <w:sz w:val="24"/>
                <w:szCs w:val="32"/>
                <w:lang w:val="ro-MD"/>
              </w:rPr>
              <w:t xml:space="preserve">, </w:t>
            </w:r>
            <w:r w:rsidR="003501CB" w:rsidRPr="00DD57E3">
              <w:rPr>
                <w:rFonts w:ascii="Times New Roman" w:hAnsi="Times New Roman" w:cs="Times New Roman"/>
                <w:sz w:val="24"/>
                <w:szCs w:val="32"/>
                <w:lang w:val="ro-MD"/>
              </w:rPr>
              <w:t xml:space="preserve">respectiv instituie prevederi </w:t>
            </w:r>
            <w:r w:rsidR="0088586C" w:rsidRPr="00DD57E3">
              <w:rPr>
                <w:rFonts w:ascii="Times New Roman" w:hAnsi="Times New Roman" w:cs="Times New Roman"/>
                <w:sz w:val="24"/>
                <w:szCs w:val="32"/>
                <w:lang w:val="ro-MD"/>
              </w:rPr>
              <w:t xml:space="preserve">speciale în privința </w:t>
            </w:r>
            <w:r w:rsidR="003501CB" w:rsidRPr="00DD57E3">
              <w:rPr>
                <w:rFonts w:ascii="Times New Roman" w:hAnsi="Times New Roman" w:cs="Times New Roman"/>
                <w:sz w:val="24"/>
                <w:szCs w:val="32"/>
                <w:lang w:val="ro-MD"/>
              </w:rPr>
              <w:t xml:space="preserve">obiectului contractelor de </w:t>
            </w:r>
            <w:r w:rsidR="0088586C" w:rsidRPr="00DD57E3">
              <w:rPr>
                <w:rFonts w:ascii="Times New Roman" w:hAnsi="Times New Roman" w:cs="Times New Roman"/>
                <w:sz w:val="24"/>
                <w:szCs w:val="32"/>
                <w:lang w:val="ro-MD"/>
              </w:rPr>
              <w:t>achiziți</w:t>
            </w:r>
            <w:r w:rsidR="003501CB" w:rsidRPr="00DD57E3">
              <w:rPr>
                <w:rFonts w:ascii="Times New Roman" w:hAnsi="Times New Roman" w:cs="Times New Roman"/>
                <w:sz w:val="24"/>
                <w:szCs w:val="32"/>
                <w:lang w:val="ro-MD"/>
              </w:rPr>
              <w:t>i</w:t>
            </w:r>
            <w:r w:rsidR="0088586C" w:rsidRPr="00DD57E3">
              <w:rPr>
                <w:rFonts w:ascii="Times New Roman" w:hAnsi="Times New Roman" w:cs="Times New Roman"/>
                <w:sz w:val="24"/>
                <w:szCs w:val="32"/>
                <w:lang w:val="ro-MD"/>
              </w:rPr>
              <w:t xml:space="preserve"> în domeniul transportului</w:t>
            </w:r>
            <w:r w:rsidR="003501CB" w:rsidRPr="00DD57E3">
              <w:rPr>
                <w:rFonts w:ascii="Times New Roman" w:hAnsi="Times New Roman" w:cs="Times New Roman"/>
                <w:sz w:val="24"/>
                <w:szCs w:val="32"/>
                <w:lang w:val="ro-MD"/>
              </w:rPr>
              <w:t xml:space="preserve">. </w:t>
            </w:r>
          </w:p>
          <w:p w14:paraId="4D9510E6" w14:textId="5A39EDF4" w:rsidR="0088586C" w:rsidRPr="00DD57E3" w:rsidRDefault="003501CB" w:rsidP="00D90828">
            <w:pPr>
              <w:spacing w:before="120" w:after="60" w:line="240" w:lineRule="auto"/>
              <w:jc w:val="both"/>
              <w:rPr>
                <w:rFonts w:ascii="Times New Roman" w:hAnsi="Times New Roman" w:cs="Times New Roman"/>
                <w:sz w:val="24"/>
                <w:szCs w:val="32"/>
                <w:lang w:val="ro-MD"/>
              </w:rPr>
            </w:pPr>
            <w:r w:rsidRPr="00DD57E3">
              <w:rPr>
                <w:rFonts w:ascii="Times New Roman" w:hAnsi="Times New Roman" w:cs="Times New Roman"/>
                <w:sz w:val="24"/>
                <w:szCs w:val="32"/>
                <w:lang w:val="ro-MD"/>
              </w:rPr>
              <w:lastRenderedPageBreak/>
              <w:t xml:space="preserve">Aceasta nu reprezintă o </w:t>
            </w:r>
            <w:r w:rsidR="0088586C" w:rsidRPr="00DD57E3">
              <w:rPr>
                <w:rFonts w:ascii="Times New Roman" w:hAnsi="Times New Roman" w:cs="Times New Roman"/>
                <w:sz w:val="24"/>
                <w:szCs w:val="32"/>
                <w:lang w:val="ro-MD"/>
              </w:rPr>
              <w:t xml:space="preserve">Directivă de modificare/completare a Directivei 2014/24/UE a Parlamentului European și a Consiliului din 26 februarie 2014 privind </w:t>
            </w:r>
            <w:r w:rsidRPr="00DD57E3">
              <w:rPr>
                <w:rFonts w:ascii="Times New Roman" w:hAnsi="Times New Roman" w:cs="Times New Roman"/>
                <w:sz w:val="24"/>
                <w:szCs w:val="32"/>
                <w:lang w:val="ro-MD"/>
              </w:rPr>
              <w:t>achizițiile</w:t>
            </w:r>
            <w:r w:rsidR="0088586C" w:rsidRPr="00DD57E3">
              <w:rPr>
                <w:rFonts w:ascii="Times New Roman" w:hAnsi="Times New Roman" w:cs="Times New Roman"/>
                <w:sz w:val="24"/>
                <w:szCs w:val="32"/>
                <w:lang w:val="ro-MD"/>
              </w:rPr>
              <w:t xml:space="preserve"> publice </w:t>
            </w:r>
            <w:r w:rsidR="00BE49EC" w:rsidRPr="00DD57E3">
              <w:rPr>
                <w:rFonts w:ascii="Times New Roman" w:hAnsi="Times New Roman" w:cs="Times New Roman"/>
                <w:sz w:val="24"/>
                <w:szCs w:val="32"/>
                <w:lang w:val="ro-MD"/>
              </w:rPr>
              <w:t>sau</w:t>
            </w:r>
            <w:r w:rsidR="0088586C" w:rsidRPr="00DD57E3">
              <w:rPr>
                <w:rFonts w:ascii="Times New Roman" w:hAnsi="Times New Roman" w:cs="Times New Roman"/>
                <w:sz w:val="24"/>
                <w:szCs w:val="32"/>
                <w:lang w:val="ro-MD"/>
              </w:rPr>
              <w:t xml:space="preserve"> a Directivei 2014/25/UE a Parlamentului European și a Consiliului din 26 februarie 2014 privind achizițiile efectuate de entitățile care își desfășoară activitatea în sectoarele apei, energiei, transporturilor și serviciilor poștale</w:t>
            </w:r>
            <w:r w:rsidR="00BE49EC" w:rsidRPr="00DD57E3">
              <w:rPr>
                <w:rFonts w:ascii="Times New Roman" w:hAnsi="Times New Roman" w:cs="Times New Roman"/>
                <w:sz w:val="24"/>
                <w:szCs w:val="32"/>
                <w:lang w:val="ro-MD"/>
              </w:rPr>
              <w:t>.</w:t>
            </w:r>
            <w:r w:rsidR="0088586C" w:rsidRPr="00DD57E3">
              <w:rPr>
                <w:rFonts w:ascii="Times New Roman" w:hAnsi="Times New Roman" w:cs="Times New Roman"/>
                <w:sz w:val="24"/>
                <w:szCs w:val="32"/>
                <w:lang w:val="ro-MD"/>
              </w:rPr>
              <w:t xml:space="preserve"> </w:t>
            </w:r>
          </w:p>
          <w:p w14:paraId="6E2DBADE" w14:textId="60296EC8" w:rsidR="00AA266C" w:rsidRPr="00DD57E3" w:rsidRDefault="00BE49EC" w:rsidP="00AA266C">
            <w:pPr>
              <w:spacing w:before="120" w:after="60" w:line="240" w:lineRule="auto"/>
              <w:jc w:val="both"/>
              <w:rPr>
                <w:rFonts w:ascii="Times New Roman" w:hAnsi="Times New Roman" w:cs="Times New Roman"/>
                <w:sz w:val="24"/>
                <w:szCs w:val="28"/>
                <w:lang w:val="ro-MD"/>
              </w:rPr>
            </w:pPr>
            <w:r w:rsidRPr="00DD57E3">
              <w:rPr>
                <w:rFonts w:ascii="Times New Roman" w:hAnsi="Times New Roman" w:cs="Times New Roman"/>
                <w:sz w:val="24"/>
                <w:szCs w:val="28"/>
                <w:lang w:val="ro-MD"/>
              </w:rPr>
              <w:t xml:space="preserve">Atât </w:t>
            </w:r>
            <w:r w:rsidR="00D90828" w:rsidRPr="00DD57E3">
              <w:rPr>
                <w:rFonts w:ascii="Times New Roman" w:hAnsi="Times New Roman" w:cs="Times New Roman"/>
                <w:sz w:val="24"/>
                <w:szCs w:val="28"/>
                <w:lang w:val="ro-MD"/>
              </w:rPr>
              <w:t xml:space="preserve">Legea </w:t>
            </w:r>
            <w:r w:rsidRPr="00DD57E3">
              <w:rPr>
                <w:rFonts w:ascii="Times New Roman" w:hAnsi="Times New Roman" w:cs="Times New Roman"/>
                <w:sz w:val="24"/>
                <w:szCs w:val="28"/>
                <w:lang w:val="ro-MD"/>
              </w:rPr>
              <w:t xml:space="preserve">nr. 131/2015 privind </w:t>
            </w:r>
            <w:r w:rsidR="00D90828" w:rsidRPr="00DD57E3">
              <w:rPr>
                <w:rFonts w:ascii="Times New Roman" w:hAnsi="Times New Roman" w:cs="Times New Roman"/>
                <w:sz w:val="24"/>
                <w:szCs w:val="28"/>
                <w:lang w:val="ro-MD"/>
              </w:rPr>
              <w:t>achizițiil</w:t>
            </w:r>
            <w:r w:rsidRPr="00DD57E3">
              <w:rPr>
                <w:rFonts w:ascii="Times New Roman" w:hAnsi="Times New Roman" w:cs="Times New Roman"/>
                <w:sz w:val="24"/>
                <w:szCs w:val="28"/>
                <w:lang w:val="ro-MD"/>
              </w:rPr>
              <w:t>e</w:t>
            </w:r>
            <w:r w:rsidR="00D90828" w:rsidRPr="00DD57E3">
              <w:rPr>
                <w:rFonts w:ascii="Times New Roman" w:hAnsi="Times New Roman" w:cs="Times New Roman"/>
                <w:sz w:val="24"/>
                <w:szCs w:val="28"/>
                <w:lang w:val="ro-MD"/>
              </w:rPr>
              <w:t xml:space="preserve"> publice</w:t>
            </w:r>
            <w:r w:rsidRPr="00DD57E3">
              <w:rPr>
                <w:rFonts w:ascii="Times New Roman" w:hAnsi="Times New Roman" w:cs="Times New Roman"/>
                <w:sz w:val="24"/>
                <w:szCs w:val="28"/>
                <w:lang w:val="ro-MD"/>
              </w:rPr>
              <w:t>, cât</w:t>
            </w:r>
            <w:r w:rsidR="00D90828" w:rsidRPr="00DD57E3">
              <w:rPr>
                <w:rFonts w:ascii="Times New Roman" w:hAnsi="Times New Roman" w:cs="Times New Roman"/>
                <w:sz w:val="24"/>
                <w:szCs w:val="28"/>
                <w:lang w:val="ro-MD"/>
              </w:rPr>
              <w:t xml:space="preserve"> </w:t>
            </w:r>
            <w:r w:rsidRPr="00DD57E3">
              <w:rPr>
                <w:rFonts w:ascii="Times New Roman" w:hAnsi="Times New Roman" w:cs="Times New Roman"/>
                <w:sz w:val="24"/>
                <w:szCs w:val="28"/>
                <w:lang w:val="ro-MD"/>
              </w:rPr>
              <w:t xml:space="preserve">și Legea nr. 74/2020 </w:t>
            </w:r>
            <w:r w:rsidRPr="00DD57E3">
              <w:rPr>
                <w:rFonts w:ascii="Times New Roman" w:hAnsi="Times New Roman" w:cs="Times New Roman"/>
                <w:bCs/>
                <w:iCs/>
                <w:sz w:val="24"/>
                <w:szCs w:val="28"/>
                <w:lang w:val="ro-MD"/>
              </w:rPr>
              <w:t>privind achizițiile</w:t>
            </w:r>
            <w:r w:rsidR="005F2662" w:rsidRPr="00DD57E3">
              <w:rPr>
                <w:rFonts w:ascii="Times New Roman" w:hAnsi="Times New Roman" w:cs="Times New Roman"/>
                <w:bCs/>
                <w:iCs/>
                <w:sz w:val="24"/>
                <w:szCs w:val="28"/>
                <w:lang w:val="ro-MD"/>
              </w:rPr>
              <w:t xml:space="preserve"> sectoriale</w:t>
            </w:r>
            <w:r w:rsidRPr="00DD57E3">
              <w:rPr>
                <w:rFonts w:ascii="Times New Roman" w:hAnsi="Times New Roman" w:cs="Times New Roman"/>
                <w:bCs/>
                <w:iCs/>
                <w:sz w:val="24"/>
                <w:szCs w:val="28"/>
                <w:lang w:val="ro-MD"/>
              </w:rPr>
              <w:t>,</w:t>
            </w:r>
            <w:r w:rsidRPr="00DD57E3">
              <w:rPr>
                <w:rFonts w:ascii="Times New Roman" w:hAnsi="Times New Roman" w:cs="Times New Roman"/>
                <w:sz w:val="24"/>
                <w:szCs w:val="28"/>
                <w:lang w:val="ro-MD"/>
              </w:rPr>
              <w:t xml:space="preserve"> reglementează exclusiv </w:t>
            </w:r>
            <w:r w:rsidR="00D90828" w:rsidRPr="00DD57E3">
              <w:rPr>
                <w:rFonts w:ascii="Times New Roman" w:hAnsi="Times New Roman" w:cs="Times New Roman"/>
                <w:sz w:val="24"/>
                <w:szCs w:val="28"/>
                <w:lang w:val="ro-MD"/>
              </w:rPr>
              <w:t xml:space="preserve">procedura </w:t>
            </w:r>
            <w:r w:rsidRPr="00DD57E3">
              <w:rPr>
                <w:rFonts w:ascii="Times New Roman" w:hAnsi="Times New Roman" w:cs="Times New Roman"/>
                <w:sz w:val="24"/>
                <w:szCs w:val="28"/>
                <w:lang w:val="ro-MD"/>
              </w:rPr>
              <w:t xml:space="preserve">de desfășurare a </w:t>
            </w:r>
            <w:r w:rsidR="00D90828" w:rsidRPr="00DD57E3">
              <w:rPr>
                <w:rFonts w:ascii="Times New Roman" w:hAnsi="Times New Roman" w:cs="Times New Roman"/>
                <w:sz w:val="24"/>
                <w:szCs w:val="28"/>
                <w:lang w:val="ro-MD"/>
              </w:rPr>
              <w:t>achizițiil</w:t>
            </w:r>
            <w:r w:rsidRPr="00DD57E3">
              <w:rPr>
                <w:rFonts w:ascii="Times New Roman" w:hAnsi="Times New Roman" w:cs="Times New Roman"/>
                <w:sz w:val="24"/>
                <w:szCs w:val="28"/>
                <w:lang w:val="ro-MD"/>
              </w:rPr>
              <w:t>or</w:t>
            </w:r>
            <w:r w:rsidR="005F2662" w:rsidRPr="00DD57E3">
              <w:rPr>
                <w:rFonts w:ascii="Times New Roman" w:hAnsi="Times New Roman" w:cs="Times New Roman"/>
                <w:sz w:val="24"/>
                <w:szCs w:val="28"/>
                <w:lang w:val="ro-MD"/>
              </w:rPr>
              <w:t xml:space="preserve"> și</w:t>
            </w:r>
            <w:r w:rsidRPr="00DD57E3">
              <w:rPr>
                <w:rFonts w:ascii="Times New Roman" w:hAnsi="Times New Roman" w:cs="Times New Roman"/>
                <w:sz w:val="24"/>
                <w:szCs w:val="28"/>
                <w:lang w:val="ro-MD"/>
              </w:rPr>
              <w:t xml:space="preserve"> criteriile de atribuire a contractor de achiziții. </w:t>
            </w:r>
            <w:r w:rsidR="00377261" w:rsidRPr="00DD57E3">
              <w:rPr>
                <w:rFonts w:ascii="Times New Roman" w:hAnsi="Times New Roman" w:cs="Times New Roman"/>
                <w:sz w:val="24"/>
                <w:szCs w:val="28"/>
                <w:lang w:val="ro-MD"/>
              </w:rPr>
              <w:t>Obiectivele</w:t>
            </w:r>
            <w:r w:rsidR="00AA266C" w:rsidRPr="00DD57E3">
              <w:rPr>
                <w:rFonts w:ascii="Times New Roman" w:hAnsi="Times New Roman" w:cs="Times New Roman"/>
                <w:sz w:val="24"/>
                <w:szCs w:val="28"/>
                <w:lang w:val="ro-MD"/>
              </w:rPr>
              <w:t xml:space="preserve"> acestor legi </w:t>
            </w:r>
            <w:r w:rsidR="00377261" w:rsidRPr="00DD57E3">
              <w:rPr>
                <w:rFonts w:ascii="Times New Roman" w:hAnsi="Times New Roman" w:cs="Times New Roman"/>
                <w:sz w:val="24"/>
                <w:szCs w:val="28"/>
                <w:lang w:val="ro-MD"/>
              </w:rPr>
              <w:t xml:space="preserve">sunt: </w:t>
            </w:r>
            <w:r w:rsidR="00AA266C" w:rsidRPr="00DD57E3">
              <w:rPr>
                <w:rFonts w:ascii="Times New Roman" w:hAnsi="Times New Roman" w:cs="Times New Roman"/>
                <w:sz w:val="24"/>
                <w:szCs w:val="28"/>
                <w:lang w:val="ro-MD"/>
              </w:rPr>
              <w:t>asigura transparenț</w:t>
            </w:r>
            <w:r w:rsidR="00377261" w:rsidRPr="00DD57E3">
              <w:rPr>
                <w:rFonts w:ascii="Times New Roman" w:hAnsi="Times New Roman" w:cs="Times New Roman"/>
                <w:sz w:val="24"/>
                <w:szCs w:val="28"/>
                <w:lang w:val="ro-MD"/>
              </w:rPr>
              <w:t>ei</w:t>
            </w:r>
            <w:r w:rsidR="00AA266C" w:rsidRPr="00DD57E3">
              <w:rPr>
                <w:rFonts w:ascii="Times New Roman" w:hAnsi="Times New Roman" w:cs="Times New Roman"/>
                <w:sz w:val="24"/>
                <w:szCs w:val="28"/>
                <w:lang w:val="ro-MD"/>
              </w:rPr>
              <w:t xml:space="preserve"> și eficienț</w:t>
            </w:r>
            <w:r w:rsidR="00377261" w:rsidRPr="00DD57E3">
              <w:rPr>
                <w:rFonts w:ascii="Times New Roman" w:hAnsi="Times New Roman" w:cs="Times New Roman"/>
                <w:sz w:val="24"/>
                <w:szCs w:val="28"/>
                <w:lang w:val="ro-MD"/>
              </w:rPr>
              <w:t>ei</w:t>
            </w:r>
            <w:r w:rsidR="00AA266C" w:rsidRPr="00DD57E3">
              <w:rPr>
                <w:rFonts w:ascii="Times New Roman" w:hAnsi="Times New Roman" w:cs="Times New Roman"/>
                <w:sz w:val="24"/>
                <w:szCs w:val="28"/>
                <w:lang w:val="ro-MD"/>
              </w:rPr>
              <w:t xml:space="preserve"> proceselor de achiziții, consolidarea mediu</w:t>
            </w:r>
            <w:r w:rsidR="00762DD3" w:rsidRPr="00DD57E3">
              <w:rPr>
                <w:rFonts w:ascii="Times New Roman" w:hAnsi="Times New Roman" w:cs="Times New Roman"/>
                <w:sz w:val="24"/>
                <w:szCs w:val="28"/>
                <w:lang w:val="ro-MD"/>
              </w:rPr>
              <w:t>lui</w:t>
            </w:r>
            <w:r w:rsidR="00AA266C" w:rsidRPr="00DD57E3">
              <w:rPr>
                <w:rFonts w:ascii="Times New Roman" w:hAnsi="Times New Roman" w:cs="Times New Roman"/>
                <w:sz w:val="24"/>
                <w:szCs w:val="28"/>
                <w:lang w:val="ro-MD"/>
              </w:rPr>
              <w:t xml:space="preserve"> concurențial,</w:t>
            </w:r>
            <w:r w:rsidR="00762DD3" w:rsidRPr="00DD57E3">
              <w:rPr>
                <w:lang w:val="ro-MD"/>
              </w:rPr>
              <w:t xml:space="preserve"> as</w:t>
            </w:r>
            <w:r w:rsidR="00762DD3" w:rsidRPr="00DD57E3">
              <w:rPr>
                <w:rFonts w:ascii="Times New Roman" w:hAnsi="Times New Roman" w:cs="Times New Roman"/>
                <w:sz w:val="24"/>
                <w:szCs w:val="28"/>
                <w:lang w:val="ro-MD"/>
              </w:rPr>
              <w:t>igurarea unui sistem eficient și echitabil de soluționare a litigiilor,</w:t>
            </w:r>
            <w:r w:rsidR="00AA266C" w:rsidRPr="00DD57E3">
              <w:rPr>
                <w:rFonts w:ascii="Times New Roman" w:hAnsi="Times New Roman" w:cs="Times New Roman"/>
                <w:sz w:val="24"/>
                <w:szCs w:val="28"/>
                <w:lang w:val="ro-MD"/>
              </w:rPr>
              <w:t xml:space="preserve"> corectitudinea utiliz</w:t>
            </w:r>
            <w:r w:rsidR="00377261" w:rsidRPr="00DD57E3">
              <w:rPr>
                <w:rFonts w:ascii="Times New Roman" w:hAnsi="Times New Roman" w:cs="Times New Roman"/>
                <w:sz w:val="24"/>
                <w:szCs w:val="28"/>
                <w:lang w:val="ro-MD"/>
              </w:rPr>
              <w:t xml:space="preserve">ării </w:t>
            </w:r>
            <w:r w:rsidR="00AA266C" w:rsidRPr="00DD57E3">
              <w:rPr>
                <w:rFonts w:ascii="Times New Roman" w:hAnsi="Times New Roman" w:cs="Times New Roman"/>
                <w:sz w:val="24"/>
                <w:szCs w:val="28"/>
                <w:lang w:val="ro-MD"/>
              </w:rPr>
              <w:t xml:space="preserve">fondurilor publice. </w:t>
            </w:r>
          </w:p>
          <w:p w14:paraId="06AA773A" w14:textId="6B65EF69" w:rsidR="00377261" w:rsidRPr="00DD57E3" w:rsidRDefault="00377261" w:rsidP="00377261">
            <w:pPr>
              <w:spacing w:before="120" w:after="60" w:line="240" w:lineRule="auto"/>
              <w:jc w:val="both"/>
              <w:rPr>
                <w:rFonts w:ascii="Times New Roman" w:hAnsi="Times New Roman" w:cs="Times New Roman"/>
                <w:bCs/>
                <w:iCs/>
                <w:sz w:val="24"/>
                <w:szCs w:val="24"/>
                <w:lang w:val="ro-MD"/>
              </w:rPr>
            </w:pPr>
            <w:r w:rsidRPr="00DD57E3">
              <w:rPr>
                <w:rFonts w:ascii="Times New Roman" w:hAnsi="Times New Roman" w:cs="Times New Roman"/>
                <w:sz w:val="24"/>
                <w:szCs w:val="28"/>
                <w:lang w:val="ro-MD"/>
              </w:rPr>
              <w:t xml:space="preserve">Obiectivele </w:t>
            </w:r>
            <w:r w:rsidR="00762DD3" w:rsidRPr="00DD57E3">
              <w:rPr>
                <w:rFonts w:ascii="Times New Roman" w:hAnsi="Times New Roman" w:cs="Times New Roman"/>
                <w:sz w:val="24"/>
                <w:szCs w:val="28"/>
                <w:lang w:val="ro-MD"/>
              </w:rPr>
              <w:t>Directivei 2009/33/CE</w:t>
            </w:r>
            <w:r w:rsidRPr="00DD57E3">
              <w:rPr>
                <w:rFonts w:ascii="Times New Roman" w:hAnsi="Times New Roman" w:cs="Times New Roman"/>
                <w:bCs/>
                <w:iCs/>
                <w:sz w:val="24"/>
                <w:szCs w:val="24"/>
                <w:lang w:val="ro-MD"/>
              </w:rPr>
              <w:t xml:space="preserve"> (</w:t>
            </w:r>
            <w:r w:rsidRPr="00DD57E3">
              <w:rPr>
                <w:rFonts w:ascii="Times New Roman" w:hAnsi="Times New Roman" w:cs="Times New Roman"/>
                <w:iCs/>
                <w:sz w:val="24"/>
                <w:szCs w:val="28"/>
                <w:lang w:val="ro-MD"/>
              </w:rPr>
              <w:t>actualizată prin Directiva 2019/1161) sunt: accelerarea decarbonizării sectorului transporturilor; promovarea eficienței energetice a mijloacelor de transport; promovarea și stimularea pieței vehiculelor nepoluante prin intermediul procedurilor de achiziții publice</w:t>
            </w:r>
            <w:r w:rsidR="005F2662" w:rsidRPr="00DD57E3">
              <w:rPr>
                <w:rFonts w:ascii="Times New Roman" w:hAnsi="Times New Roman" w:cs="Times New Roman"/>
                <w:iCs/>
                <w:sz w:val="24"/>
                <w:szCs w:val="28"/>
                <w:lang w:val="ro-MD"/>
              </w:rPr>
              <w:t>. Astfel, obiectivele Directivei nu</w:t>
            </w:r>
            <w:r w:rsidR="0059600E" w:rsidRPr="00DD57E3">
              <w:rPr>
                <w:rFonts w:ascii="Times New Roman" w:hAnsi="Times New Roman" w:cs="Times New Roman"/>
                <w:iCs/>
                <w:sz w:val="24"/>
                <w:szCs w:val="28"/>
                <w:lang w:val="ro-MD"/>
              </w:rPr>
              <w:t xml:space="preserve"> vizează doar domeniul achizițiilor, dar și domeniul </w:t>
            </w:r>
            <w:r w:rsidR="0059600E" w:rsidRPr="00DD57E3">
              <w:rPr>
                <w:rFonts w:ascii="Times New Roman" w:hAnsi="Times New Roman" w:cs="Times New Roman"/>
                <w:bCs/>
                <w:iCs/>
                <w:sz w:val="24"/>
                <w:szCs w:val="24"/>
                <w:lang w:val="ro-MD"/>
              </w:rPr>
              <w:t>eficienței energetice</w:t>
            </w:r>
            <w:r w:rsidR="008F3C5D" w:rsidRPr="00DD57E3">
              <w:rPr>
                <w:rFonts w:ascii="Times New Roman" w:hAnsi="Times New Roman" w:cs="Times New Roman"/>
                <w:bCs/>
                <w:iCs/>
                <w:sz w:val="24"/>
                <w:szCs w:val="24"/>
                <w:lang w:val="ro-MD"/>
              </w:rPr>
              <w:t xml:space="preserve">, </w:t>
            </w:r>
            <w:r w:rsidR="0059600E" w:rsidRPr="00DD57E3">
              <w:rPr>
                <w:rFonts w:ascii="Times New Roman" w:hAnsi="Times New Roman" w:cs="Times New Roman"/>
                <w:bCs/>
                <w:iCs/>
                <w:sz w:val="24"/>
                <w:szCs w:val="24"/>
                <w:lang w:val="ro-MD"/>
              </w:rPr>
              <w:t>de mediu și</w:t>
            </w:r>
            <w:r w:rsidR="0059600E" w:rsidRPr="00DD57E3">
              <w:rPr>
                <w:rFonts w:ascii="Times New Roman" w:hAnsi="Times New Roman" w:cs="Times New Roman"/>
                <w:iCs/>
                <w:sz w:val="24"/>
                <w:szCs w:val="28"/>
                <w:lang w:val="ro-MD"/>
              </w:rPr>
              <w:t xml:space="preserve"> în mod special </w:t>
            </w:r>
            <w:r w:rsidR="0059600E" w:rsidRPr="00DD57E3">
              <w:rPr>
                <w:rFonts w:ascii="Times New Roman" w:hAnsi="Times New Roman" w:cs="Times New Roman"/>
                <w:bCs/>
                <w:iCs/>
                <w:sz w:val="24"/>
                <w:szCs w:val="24"/>
                <w:lang w:val="ro-MD"/>
              </w:rPr>
              <w:t>domeni</w:t>
            </w:r>
            <w:r w:rsidR="008F3C5D" w:rsidRPr="00DD57E3">
              <w:rPr>
                <w:rFonts w:ascii="Times New Roman" w:hAnsi="Times New Roman" w:cs="Times New Roman"/>
                <w:bCs/>
                <w:iCs/>
                <w:sz w:val="24"/>
                <w:szCs w:val="24"/>
                <w:lang w:val="ro-MD"/>
              </w:rPr>
              <w:t>u</w:t>
            </w:r>
            <w:r w:rsidR="0059600E" w:rsidRPr="00DD57E3">
              <w:rPr>
                <w:rFonts w:ascii="Times New Roman" w:hAnsi="Times New Roman" w:cs="Times New Roman"/>
                <w:bCs/>
                <w:iCs/>
                <w:sz w:val="24"/>
                <w:szCs w:val="24"/>
                <w:lang w:val="ro-MD"/>
              </w:rPr>
              <w:t xml:space="preserve">l transportului. </w:t>
            </w:r>
            <w:r w:rsidR="008F3C5D" w:rsidRPr="00DD57E3">
              <w:rPr>
                <w:rFonts w:ascii="Times New Roman" w:hAnsi="Times New Roman" w:cs="Times New Roman"/>
                <w:bCs/>
                <w:iCs/>
                <w:sz w:val="24"/>
                <w:szCs w:val="24"/>
                <w:lang w:val="ro-MD"/>
              </w:rPr>
              <w:t>P</w:t>
            </w:r>
            <w:r w:rsidR="0059600E" w:rsidRPr="00DD57E3">
              <w:rPr>
                <w:rFonts w:ascii="Times New Roman" w:hAnsi="Times New Roman" w:cs="Times New Roman"/>
                <w:bCs/>
                <w:iCs/>
                <w:sz w:val="24"/>
                <w:szCs w:val="24"/>
                <w:lang w:val="ro-MD"/>
              </w:rPr>
              <w:t xml:space="preserve">revederile Directivei se referă în mare parte la reglementările privind </w:t>
            </w:r>
            <w:r w:rsidR="005F2662" w:rsidRPr="00DD57E3">
              <w:rPr>
                <w:rFonts w:ascii="Times New Roman" w:hAnsi="Times New Roman" w:cs="Times New Roman"/>
                <w:bCs/>
                <w:iCs/>
                <w:sz w:val="24"/>
                <w:szCs w:val="24"/>
                <w:lang w:val="ro-MD"/>
              </w:rPr>
              <w:t xml:space="preserve">categoriile </w:t>
            </w:r>
            <w:r w:rsidR="0059600E" w:rsidRPr="00DD57E3">
              <w:rPr>
                <w:rFonts w:ascii="Times New Roman" w:hAnsi="Times New Roman" w:cs="Times New Roman"/>
                <w:bCs/>
                <w:iCs/>
                <w:sz w:val="24"/>
                <w:szCs w:val="24"/>
                <w:lang w:val="ro-MD"/>
              </w:rPr>
              <w:t>de</w:t>
            </w:r>
            <w:r w:rsidR="008F3C5D" w:rsidRPr="00DD57E3">
              <w:rPr>
                <w:rFonts w:ascii="Times New Roman" w:hAnsi="Times New Roman" w:cs="Times New Roman"/>
                <w:bCs/>
                <w:iCs/>
                <w:sz w:val="24"/>
                <w:szCs w:val="24"/>
                <w:lang w:val="ro-MD"/>
              </w:rPr>
              <w:t xml:space="preserve"> vehicule</w:t>
            </w:r>
            <w:r w:rsidR="005F2662" w:rsidRPr="00DD57E3">
              <w:rPr>
                <w:rFonts w:ascii="Times New Roman" w:hAnsi="Times New Roman" w:cs="Times New Roman"/>
                <w:bCs/>
                <w:iCs/>
                <w:sz w:val="24"/>
                <w:szCs w:val="24"/>
                <w:lang w:val="ro-MD"/>
              </w:rPr>
              <w:t>, cu specific în sfera omologării și certificării vehiculelor, precum și</w:t>
            </w:r>
            <w:r w:rsidR="0059600E" w:rsidRPr="00DD57E3">
              <w:rPr>
                <w:rFonts w:ascii="Times New Roman" w:hAnsi="Times New Roman" w:cs="Times New Roman"/>
                <w:bCs/>
                <w:iCs/>
                <w:sz w:val="24"/>
                <w:szCs w:val="24"/>
                <w:lang w:val="ro-MD"/>
              </w:rPr>
              <w:t xml:space="preserve"> serviciile de transport rutier. </w:t>
            </w:r>
          </w:p>
          <w:p w14:paraId="502BCF8C" w14:textId="4A1EB4AB" w:rsidR="00D90828" w:rsidRPr="00DD57E3" w:rsidRDefault="00377261" w:rsidP="00D90828">
            <w:pPr>
              <w:spacing w:before="120" w:after="60" w:line="240" w:lineRule="auto"/>
              <w:jc w:val="both"/>
              <w:rPr>
                <w:rFonts w:ascii="Times New Roman" w:hAnsi="Times New Roman" w:cs="Times New Roman"/>
                <w:sz w:val="24"/>
                <w:szCs w:val="28"/>
                <w:lang w:val="ro-MD"/>
              </w:rPr>
            </w:pPr>
            <w:r w:rsidRPr="00DD57E3">
              <w:rPr>
                <w:rFonts w:ascii="Times New Roman" w:hAnsi="Times New Roman" w:cs="Times New Roman"/>
                <w:sz w:val="24"/>
                <w:szCs w:val="28"/>
                <w:lang w:val="ro-MD"/>
              </w:rPr>
              <w:t>Astfel, obiectivele Directivei 2009/33/CE</w:t>
            </w:r>
            <w:r w:rsidRPr="00DD57E3">
              <w:rPr>
                <w:rFonts w:ascii="Times New Roman" w:hAnsi="Times New Roman" w:cs="Times New Roman"/>
                <w:bCs/>
                <w:iCs/>
                <w:sz w:val="24"/>
                <w:szCs w:val="24"/>
                <w:lang w:val="ro-MD"/>
              </w:rPr>
              <w:t xml:space="preserve"> </w:t>
            </w:r>
            <w:r w:rsidRPr="00DD57E3">
              <w:rPr>
                <w:rFonts w:ascii="Times New Roman" w:hAnsi="Times New Roman" w:cs="Times New Roman"/>
                <w:sz w:val="24"/>
                <w:szCs w:val="28"/>
                <w:lang w:val="ro-MD"/>
              </w:rPr>
              <w:t>nu se încadrează în</w:t>
            </w:r>
            <w:r w:rsidR="00C236AB" w:rsidRPr="00DD57E3">
              <w:rPr>
                <w:rFonts w:ascii="Times New Roman" w:hAnsi="Times New Roman" w:cs="Times New Roman"/>
                <w:sz w:val="24"/>
                <w:szCs w:val="28"/>
                <w:lang w:val="ro-MD"/>
              </w:rPr>
              <w:t xml:space="preserve"> </w:t>
            </w:r>
            <w:r w:rsidR="00AD5520" w:rsidRPr="00DD57E3">
              <w:rPr>
                <w:rFonts w:ascii="Times New Roman" w:hAnsi="Times New Roman" w:cs="Times New Roman"/>
                <w:sz w:val="24"/>
                <w:szCs w:val="28"/>
                <w:lang w:val="ro-MD"/>
              </w:rPr>
              <w:t xml:space="preserve">obiectul de reglementare al </w:t>
            </w:r>
            <w:r w:rsidRPr="00DD57E3">
              <w:rPr>
                <w:rFonts w:ascii="Times New Roman" w:hAnsi="Times New Roman" w:cs="Times New Roman"/>
                <w:sz w:val="24"/>
                <w:szCs w:val="28"/>
                <w:lang w:val="ro-MD"/>
              </w:rPr>
              <w:t xml:space="preserve">cadrul legislativ </w:t>
            </w:r>
            <w:r w:rsidR="00AD5520" w:rsidRPr="00DD57E3">
              <w:rPr>
                <w:rFonts w:ascii="Times New Roman" w:hAnsi="Times New Roman" w:cs="Times New Roman"/>
                <w:sz w:val="24"/>
                <w:szCs w:val="28"/>
                <w:lang w:val="ro-MD"/>
              </w:rPr>
              <w:t xml:space="preserve">aplicabil </w:t>
            </w:r>
            <w:r w:rsidRPr="00DD57E3">
              <w:rPr>
                <w:rFonts w:ascii="Times New Roman" w:hAnsi="Times New Roman" w:cs="Times New Roman"/>
                <w:sz w:val="24"/>
                <w:szCs w:val="28"/>
                <w:lang w:val="ro-MD"/>
              </w:rPr>
              <w:t xml:space="preserve">procedurilor de achiziții publice și sectoriale, care </w:t>
            </w:r>
            <w:r w:rsidR="00C236AB" w:rsidRPr="00DD57E3">
              <w:rPr>
                <w:rFonts w:ascii="Times New Roman" w:hAnsi="Times New Roman" w:cs="Times New Roman"/>
                <w:sz w:val="24"/>
                <w:szCs w:val="28"/>
                <w:lang w:val="ro-MD"/>
              </w:rPr>
              <w:t xml:space="preserve">nu poate să cuprindă domenii specifice, să concretizeze obiectul unor anumite achiziții sau să impună obligații </w:t>
            </w:r>
            <w:r w:rsidR="005F2662" w:rsidRPr="00DD57E3">
              <w:rPr>
                <w:rFonts w:ascii="Times New Roman" w:hAnsi="Times New Roman" w:cs="Times New Roman"/>
                <w:sz w:val="24"/>
                <w:szCs w:val="28"/>
                <w:lang w:val="ro-MD"/>
              </w:rPr>
              <w:t xml:space="preserve">în privința autorităților și entităților contractante </w:t>
            </w:r>
            <w:r w:rsidR="00C236AB" w:rsidRPr="00DD57E3">
              <w:rPr>
                <w:rFonts w:ascii="Times New Roman" w:hAnsi="Times New Roman" w:cs="Times New Roman"/>
                <w:sz w:val="24"/>
                <w:szCs w:val="28"/>
                <w:lang w:val="ro-MD"/>
              </w:rPr>
              <w:t>de a efectua anumite achiziții</w:t>
            </w:r>
            <w:r w:rsidR="005F2662" w:rsidRPr="00DD57E3">
              <w:rPr>
                <w:rFonts w:ascii="Times New Roman" w:hAnsi="Times New Roman" w:cs="Times New Roman"/>
                <w:sz w:val="24"/>
                <w:szCs w:val="28"/>
                <w:lang w:val="ro-MD"/>
              </w:rPr>
              <w:t xml:space="preserve"> de bunuri și servicii</w:t>
            </w:r>
            <w:r w:rsidR="00D90828" w:rsidRPr="00DD57E3">
              <w:rPr>
                <w:rFonts w:ascii="Times New Roman" w:hAnsi="Times New Roman" w:cs="Times New Roman"/>
                <w:sz w:val="24"/>
                <w:szCs w:val="28"/>
                <w:lang w:val="ro-MD"/>
              </w:rPr>
              <w:t xml:space="preserve">. </w:t>
            </w:r>
          </w:p>
          <w:p w14:paraId="40F639D7" w14:textId="5770F295" w:rsidR="00C236AB" w:rsidRPr="00DD57E3" w:rsidRDefault="00C236AB" w:rsidP="00D90828">
            <w:pPr>
              <w:spacing w:before="120" w:after="60" w:line="240" w:lineRule="auto"/>
              <w:jc w:val="both"/>
              <w:rPr>
                <w:rFonts w:ascii="Times New Roman" w:hAnsi="Times New Roman" w:cs="Times New Roman"/>
                <w:i/>
                <w:sz w:val="24"/>
                <w:szCs w:val="28"/>
                <w:lang w:val="ro-MD"/>
              </w:rPr>
            </w:pPr>
            <w:r w:rsidRPr="00DD57E3">
              <w:rPr>
                <w:rFonts w:ascii="Times New Roman" w:hAnsi="Times New Roman" w:cs="Times New Roman"/>
                <w:i/>
                <w:sz w:val="24"/>
                <w:szCs w:val="28"/>
                <w:lang w:val="ro-MD"/>
              </w:rPr>
              <w:t>2)</w:t>
            </w:r>
            <w:r w:rsidRPr="00DD57E3">
              <w:rPr>
                <w:i/>
                <w:lang w:val="ro-MD"/>
              </w:rPr>
              <w:t xml:space="preserve"> </w:t>
            </w:r>
            <w:r w:rsidRPr="00DD57E3">
              <w:rPr>
                <w:rFonts w:ascii="Times New Roman" w:hAnsi="Times New Roman" w:cs="Times New Roman"/>
                <w:i/>
                <w:sz w:val="24"/>
                <w:szCs w:val="28"/>
                <w:lang w:val="ro-MD"/>
              </w:rPr>
              <w:t xml:space="preserve">Elaborarea unui act legislativ special </w:t>
            </w:r>
          </w:p>
          <w:p w14:paraId="610C5521" w14:textId="6DFB70D6" w:rsidR="00E5344F" w:rsidRPr="00DD57E3" w:rsidRDefault="00C236AB" w:rsidP="00D90828">
            <w:pPr>
              <w:spacing w:before="120" w:after="60" w:line="240" w:lineRule="auto"/>
              <w:jc w:val="both"/>
              <w:rPr>
                <w:rFonts w:ascii="Times New Roman" w:hAnsi="Times New Roman" w:cs="Times New Roman"/>
                <w:sz w:val="24"/>
                <w:szCs w:val="28"/>
                <w:lang w:val="ro-MD"/>
              </w:rPr>
            </w:pPr>
            <w:r w:rsidRPr="00DD57E3">
              <w:rPr>
                <w:rFonts w:ascii="Times New Roman" w:hAnsi="Times New Roman" w:cs="Times New Roman"/>
                <w:sz w:val="24"/>
                <w:szCs w:val="28"/>
                <w:lang w:val="ro-MD"/>
              </w:rPr>
              <w:t xml:space="preserve">Elaborarea unui act legislativ corespunde cerințelor </w:t>
            </w:r>
            <w:r w:rsidR="00D90828" w:rsidRPr="00DD57E3">
              <w:rPr>
                <w:rFonts w:ascii="Times New Roman" w:hAnsi="Times New Roman" w:cs="Times New Roman"/>
                <w:sz w:val="24"/>
                <w:szCs w:val="28"/>
                <w:lang w:val="ro-MD"/>
              </w:rPr>
              <w:t xml:space="preserve">art. 11 </w:t>
            </w:r>
            <w:r w:rsidRPr="00DD57E3">
              <w:rPr>
                <w:rFonts w:ascii="Times New Roman" w:hAnsi="Times New Roman" w:cs="Times New Roman"/>
                <w:sz w:val="24"/>
                <w:szCs w:val="28"/>
                <w:lang w:val="ro-MD"/>
              </w:rPr>
              <w:t xml:space="preserve">alin. (1) </w:t>
            </w:r>
            <w:r w:rsidR="00D90828" w:rsidRPr="00DD57E3">
              <w:rPr>
                <w:rFonts w:ascii="Times New Roman" w:hAnsi="Times New Roman" w:cs="Times New Roman"/>
                <w:sz w:val="24"/>
                <w:szCs w:val="28"/>
                <w:lang w:val="ro-MD"/>
              </w:rPr>
              <w:t xml:space="preserve">din Directiva 2009/33/CE </w:t>
            </w:r>
            <w:r w:rsidRPr="00DD57E3">
              <w:rPr>
                <w:rFonts w:ascii="Times New Roman" w:hAnsi="Times New Roman" w:cs="Times New Roman"/>
                <w:sz w:val="24"/>
                <w:szCs w:val="28"/>
                <w:lang w:val="ro-MD"/>
              </w:rPr>
              <w:t xml:space="preserve">și art. 2 alin. (1) din Directiva </w:t>
            </w:r>
            <w:r w:rsidRPr="00DD57E3">
              <w:rPr>
                <w:rFonts w:ascii="Times New Roman" w:hAnsi="Times New Roman" w:cs="Times New Roman"/>
                <w:iCs/>
                <w:sz w:val="24"/>
                <w:szCs w:val="28"/>
                <w:lang w:val="ro-MD"/>
              </w:rPr>
              <w:t xml:space="preserve">2019/1161, care </w:t>
            </w:r>
            <w:r w:rsidR="00D90828" w:rsidRPr="00DD57E3">
              <w:rPr>
                <w:rFonts w:ascii="Times New Roman" w:hAnsi="Times New Roman" w:cs="Times New Roman"/>
                <w:sz w:val="24"/>
                <w:szCs w:val="28"/>
                <w:lang w:val="ro-MD"/>
              </w:rPr>
              <w:t>prev</w:t>
            </w:r>
            <w:r w:rsidRPr="00DD57E3">
              <w:rPr>
                <w:rFonts w:ascii="Times New Roman" w:hAnsi="Times New Roman" w:cs="Times New Roman"/>
                <w:sz w:val="24"/>
                <w:szCs w:val="28"/>
                <w:lang w:val="ro-MD"/>
              </w:rPr>
              <w:t xml:space="preserve">ăd </w:t>
            </w:r>
            <w:r w:rsidR="00D90828" w:rsidRPr="00DD57E3">
              <w:rPr>
                <w:rFonts w:ascii="Times New Roman" w:hAnsi="Times New Roman" w:cs="Times New Roman"/>
                <w:sz w:val="24"/>
                <w:szCs w:val="28"/>
                <w:lang w:val="ro-MD"/>
              </w:rPr>
              <w:t>expres</w:t>
            </w:r>
            <w:r w:rsidRPr="00DD57E3">
              <w:rPr>
                <w:rFonts w:ascii="Times New Roman" w:hAnsi="Times New Roman" w:cs="Times New Roman"/>
                <w:sz w:val="24"/>
                <w:szCs w:val="28"/>
                <w:lang w:val="ro-MD"/>
              </w:rPr>
              <w:t>: „</w:t>
            </w:r>
            <w:r w:rsidR="00D90828" w:rsidRPr="00DD57E3">
              <w:rPr>
                <w:rFonts w:ascii="Times New Roman" w:hAnsi="Times New Roman" w:cs="Times New Roman"/>
                <w:sz w:val="24"/>
                <w:szCs w:val="28"/>
                <w:lang w:val="ro-MD"/>
              </w:rPr>
              <w:t xml:space="preserve"> </w:t>
            </w:r>
            <w:r w:rsidRPr="00DD57E3">
              <w:rPr>
                <w:rFonts w:ascii="Times New Roman" w:hAnsi="Times New Roman" w:cs="Times New Roman"/>
                <w:sz w:val="24"/>
                <w:szCs w:val="28"/>
                <w:lang w:val="ro-MD"/>
              </w:rPr>
              <w:t>(</w:t>
            </w:r>
            <w:r w:rsidRPr="00DD57E3">
              <w:rPr>
                <w:rFonts w:ascii="Times New Roman" w:hAnsi="Times New Roman" w:cs="Times New Roman"/>
                <w:i/>
                <w:sz w:val="24"/>
                <w:szCs w:val="28"/>
                <w:lang w:val="ro-MD"/>
              </w:rPr>
              <w:t xml:space="preserve">1) Statele membre asigură intrarea în vigoare </w:t>
            </w:r>
            <w:r w:rsidRPr="00DD57E3">
              <w:rPr>
                <w:rFonts w:ascii="Times New Roman" w:hAnsi="Times New Roman" w:cs="Times New Roman"/>
                <w:b/>
                <w:i/>
                <w:sz w:val="24"/>
                <w:szCs w:val="28"/>
                <w:lang w:val="ro-MD"/>
              </w:rPr>
              <w:t>a actelor cu putere de lege și a actelor administrative necesare</w:t>
            </w:r>
            <w:r w:rsidRPr="00DD57E3">
              <w:rPr>
                <w:rFonts w:ascii="Times New Roman" w:hAnsi="Times New Roman" w:cs="Times New Roman"/>
                <w:i/>
                <w:sz w:val="24"/>
                <w:szCs w:val="28"/>
                <w:lang w:val="ro-MD"/>
              </w:rPr>
              <w:t xml:space="preserve"> pentru a se conforma prezentei directive până la 2 august 2021. Statele membre comunică de îndată Comisiei textul dispozițiilor respective</w:t>
            </w:r>
            <w:r w:rsidR="008F3C5D" w:rsidRPr="00DD57E3">
              <w:rPr>
                <w:rFonts w:ascii="Times New Roman" w:hAnsi="Times New Roman" w:cs="Times New Roman"/>
                <w:i/>
                <w:sz w:val="24"/>
                <w:szCs w:val="28"/>
                <w:lang w:val="ro-MD"/>
              </w:rPr>
              <w:t>”</w:t>
            </w:r>
            <w:r w:rsidRPr="00DD57E3">
              <w:rPr>
                <w:rFonts w:ascii="Times New Roman" w:hAnsi="Times New Roman" w:cs="Times New Roman"/>
                <w:sz w:val="24"/>
                <w:szCs w:val="28"/>
                <w:lang w:val="ro-MD"/>
              </w:rPr>
              <w:t>.</w:t>
            </w:r>
            <w:r w:rsidR="00E5344F" w:rsidRPr="00DD57E3">
              <w:rPr>
                <w:rFonts w:ascii="Times New Roman" w:hAnsi="Times New Roman" w:cs="Times New Roman"/>
                <w:sz w:val="24"/>
                <w:szCs w:val="28"/>
                <w:lang w:val="ro-MD"/>
              </w:rPr>
              <w:t xml:space="preserve"> </w:t>
            </w:r>
          </w:p>
          <w:p w14:paraId="43EF6806" w14:textId="7EB9CCD3" w:rsidR="00AD5520" w:rsidRPr="00DD57E3" w:rsidRDefault="008F3C5D" w:rsidP="009164B4">
            <w:pPr>
              <w:spacing w:before="120" w:after="60" w:line="240" w:lineRule="auto"/>
              <w:jc w:val="both"/>
              <w:rPr>
                <w:rFonts w:ascii="Times New Roman" w:hAnsi="Times New Roman" w:cs="Times New Roman"/>
                <w:sz w:val="24"/>
                <w:szCs w:val="28"/>
                <w:lang w:val="ro-MD"/>
              </w:rPr>
            </w:pPr>
            <w:r w:rsidRPr="00DD57E3">
              <w:rPr>
                <w:rFonts w:ascii="Times New Roman" w:hAnsi="Times New Roman" w:cs="Times New Roman"/>
                <w:sz w:val="24"/>
                <w:szCs w:val="28"/>
                <w:lang w:val="ro-MD"/>
              </w:rPr>
              <w:t xml:space="preserve">Totodată, </w:t>
            </w:r>
            <w:r w:rsidR="00435A7C" w:rsidRPr="00DD57E3">
              <w:rPr>
                <w:rFonts w:ascii="Times New Roman" w:hAnsi="Times New Roman" w:cs="Times New Roman"/>
                <w:sz w:val="24"/>
                <w:szCs w:val="28"/>
                <w:lang w:val="ro-MD"/>
              </w:rPr>
              <w:t xml:space="preserve">pct. 19, Capitolul 15 din </w:t>
            </w:r>
            <w:r w:rsidR="00D90828" w:rsidRPr="00DD57E3">
              <w:rPr>
                <w:rFonts w:ascii="Times New Roman" w:hAnsi="Times New Roman" w:cs="Times New Roman"/>
                <w:sz w:val="24"/>
                <w:szCs w:val="28"/>
                <w:lang w:val="ro-MD"/>
              </w:rPr>
              <w:t>Planul național de acțiuni pentru aderarea Republicii Moldova la Uniunea Europeană pe anii 2024-2027</w:t>
            </w:r>
            <w:r w:rsidR="00435A7C" w:rsidRPr="00DD57E3">
              <w:rPr>
                <w:rFonts w:ascii="Times New Roman" w:hAnsi="Times New Roman" w:cs="Times New Roman"/>
                <w:sz w:val="24"/>
                <w:szCs w:val="28"/>
                <w:lang w:val="ro-MD"/>
              </w:rPr>
              <w:t>, aprobat prin Hotărârea Guvernului nr. 829/2023</w:t>
            </w:r>
            <w:r w:rsidRPr="00DD57E3">
              <w:rPr>
                <w:rFonts w:ascii="Times New Roman" w:hAnsi="Times New Roman" w:cs="Times New Roman"/>
                <w:sz w:val="24"/>
                <w:szCs w:val="28"/>
                <w:lang w:val="ro-MD"/>
              </w:rPr>
              <w:t>,</w:t>
            </w:r>
            <w:r w:rsidR="00D90828" w:rsidRPr="00DD57E3">
              <w:rPr>
                <w:rFonts w:ascii="Times New Roman" w:hAnsi="Times New Roman" w:cs="Times New Roman"/>
                <w:sz w:val="24"/>
                <w:szCs w:val="28"/>
                <w:lang w:val="ro-MD"/>
              </w:rPr>
              <w:t xml:space="preserve"> prevede</w:t>
            </w:r>
            <w:r w:rsidR="00435A7C" w:rsidRPr="00DD57E3">
              <w:rPr>
                <w:rFonts w:ascii="Times New Roman" w:hAnsi="Times New Roman" w:cs="Times New Roman"/>
                <w:sz w:val="24"/>
                <w:szCs w:val="28"/>
                <w:lang w:val="ro-MD"/>
              </w:rPr>
              <w:t xml:space="preserve"> ca acțiune elaborarea </w:t>
            </w:r>
            <w:r w:rsidR="00AD5520" w:rsidRPr="00DD57E3">
              <w:rPr>
                <w:rFonts w:ascii="Times New Roman" w:hAnsi="Times New Roman" w:cs="Times New Roman"/>
                <w:sz w:val="24"/>
                <w:szCs w:val="28"/>
                <w:lang w:val="ro-MD"/>
              </w:rPr>
              <w:t xml:space="preserve">unui </w:t>
            </w:r>
            <w:r w:rsidR="00435A7C" w:rsidRPr="00DD57E3">
              <w:rPr>
                <w:rFonts w:ascii="Times New Roman" w:hAnsi="Times New Roman" w:cs="Times New Roman"/>
                <w:sz w:val="24"/>
                <w:szCs w:val="28"/>
                <w:lang w:val="ro-MD"/>
              </w:rPr>
              <w:t xml:space="preserve">proiect de </w:t>
            </w:r>
            <w:r w:rsidR="00AD5520" w:rsidRPr="00DD57E3">
              <w:rPr>
                <w:rFonts w:ascii="Times New Roman" w:hAnsi="Times New Roman" w:cs="Times New Roman"/>
                <w:sz w:val="24"/>
                <w:szCs w:val="28"/>
                <w:lang w:val="ro-MD"/>
              </w:rPr>
              <w:t>lege distinct: ”</w:t>
            </w:r>
            <w:r w:rsidR="00435A7C" w:rsidRPr="00DD57E3">
              <w:rPr>
                <w:rFonts w:ascii="Times New Roman" w:hAnsi="Times New Roman" w:cs="Times New Roman"/>
                <w:i/>
                <w:sz w:val="24"/>
                <w:szCs w:val="28"/>
                <w:lang w:val="ro-MD"/>
              </w:rPr>
              <w:t>lege</w:t>
            </w:r>
            <w:r w:rsidR="00AD5520" w:rsidRPr="00DD57E3">
              <w:rPr>
                <w:rFonts w:ascii="Times New Roman" w:hAnsi="Times New Roman" w:cs="Times New Roman"/>
                <w:i/>
                <w:sz w:val="24"/>
                <w:szCs w:val="28"/>
                <w:lang w:val="ro-MD"/>
              </w:rPr>
              <w:t>a</w:t>
            </w:r>
            <w:r w:rsidR="00435A7C" w:rsidRPr="00DD57E3">
              <w:rPr>
                <w:rFonts w:ascii="Times New Roman" w:hAnsi="Times New Roman" w:cs="Times New Roman"/>
                <w:i/>
                <w:sz w:val="24"/>
                <w:szCs w:val="28"/>
                <w:lang w:val="ro-MD"/>
              </w:rPr>
              <w:t xml:space="preserve"> privind promovarea vehiculelor de transport rutier nepoluante și eficiente din punct de vedere energetic</w:t>
            </w:r>
            <w:r w:rsidR="00AD5520" w:rsidRPr="00DD57E3">
              <w:rPr>
                <w:rFonts w:ascii="Times New Roman" w:hAnsi="Times New Roman" w:cs="Times New Roman"/>
                <w:i/>
                <w:sz w:val="24"/>
                <w:szCs w:val="28"/>
                <w:lang w:val="ro-MD"/>
              </w:rPr>
              <w:t>ă”</w:t>
            </w:r>
            <w:r w:rsidR="00435A7C" w:rsidRPr="00DD57E3">
              <w:rPr>
                <w:rFonts w:ascii="Times New Roman" w:hAnsi="Times New Roman" w:cs="Times New Roman"/>
                <w:sz w:val="24"/>
                <w:szCs w:val="28"/>
                <w:lang w:val="ro-MD"/>
              </w:rPr>
              <w:t xml:space="preserve">. </w:t>
            </w:r>
            <w:r w:rsidRPr="00DD57E3">
              <w:rPr>
                <w:rFonts w:ascii="Times New Roman" w:hAnsi="Times New Roman" w:cs="Times New Roman"/>
                <w:sz w:val="24"/>
                <w:szCs w:val="24"/>
                <w:lang w:val="ro-MD"/>
              </w:rPr>
              <w:t xml:space="preserve">Astfel, </w:t>
            </w:r>
            <w:r w:rsidRPr="00DD57E3">
              <w:rPr>
                <w:rFonts w:ascii="Times New Roman" w:hAnsi="Times New Roman" w:cs="Times New Roman"/>
                <w:bCs/>
                <w:iCs/>
                <w:sz w:val="24"/>
                <w:szCs w:val="24"/>
                <w:lang w:val="ro-MD"/>
              </w:rPr>
              <w:t xml:space="preserve">adoptarea unei </w:t>
            </w:r>
            <w:r w:rsidR="00BE64E6" w:rsidRPr="00DD57E3">
              <w:rPr>
                <w:rFonts w:ascii="Times New Roman" w:hAnsi="Times New Roman" w:cs="Times New Roman"/>
                <w:bCs/>
                <w:iCs/>
                <w:sz w:val="24"/>
                <w:szCs w:val="24"/>
                <w:lang w:val="ro-MD"/>
              </w:rPr>
              <w:t>legi care să asigure transpunerea Directivei 2009/33/CE,</w:t>
            </w:r>
            <w:r w:rsidRPr="00DD57E3">
              <w:rPr>
                <w:rFonts w:ascii="Times New Roman" w:hAnsi="Times New Roman" w:cs="Times New Roman"/>
                <w:bCs/>
                <w:iCs/>
                <w:sz w:val="24"/>
                <w:szCs w:val="24"/>
                <w:lang w:val="ro-MD"/>
              </w:rPr>
              <w:t xml:space="preserve"> corespunde cerințelor art. 2 din Directivă și</w:t>
            </w:r>
            <w:r w:rsidR="00AD5520" w:rsidRPr="00DD57E3">
              <w:rPr>
                <w:rFonts w:ascii="Times New Roman" w:hAnsi="Times New Roman" w:cs="Times New Roman"/>
                <w:bCs/>
                <w:iCs/>
                <w:sz w:val="24"/>
                <w:szCs w:val="24"/>
                <w:lang w:val="ro-MD"/>
              </w:rPr>
              <w:t xml:space="preserve"> ale</w:t>
            </w:r>
            <w:r w:rsidRPr="00DD57E3">
              <w:rPr>
                <w:rFonts w:ascii="Times New Roman" w:hAnsi="Times New Roman" w:cs="Times New Roman"/>
                <w:bCs/>
                <w:iCs/>
                <w:sz w:val="24"/>
                <w:szCs w:val="24"/>
                <w:lang w:val="ro-MD"/>
              </w:rPr>
              <w:t xml:space="preserve"> </w:t>
            </w:r>
            <w:r w:rsidRPr="00DD57E3">
              <w:rPr>
                <w:rFonts w:ascii="Times New Roman" w:hAnsi="Times New Roman" w:cs="Times New Roman"/>
                <w:sz w:val="24"/>
                <w:szCs w:val="24"/>
                <w:lang w:val="ro-MD"/>
              </w:rPr>
              <w:t xml:space="preserve">Planului național de acțiuni. </w:t>
            </w:r>
          </w:p>
          <w:p w14:paraId="2A835FC3" w14:textId="5683829F" w:rsidR="00BE64E6" w:rsidRPr="00DD57E3" w:rsidRDefault="008F3C5D" w:rsidP="00BE64E6">
            <w:pPr>
              <w:tabs>
                <w:tab w:val="left" w:pos="241"/>
                <w:tab w:val="left" w:pos="315"/>
                <w:tab w:val="left" w:pos="599"/>
                <w:tab w:val="left" w:pos="922"/>
              </w:tabs>
              <w:spacing w:before="120" w:after="12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sz w:val="24"/>
                <w:szCs w:val="24"/>
                <w:lang w:val="ro-MD"/>
              </w:rPr>
              <w:t>Totodată,</w:t>
            </w:r>
            <w:r w:rsidR="00BE64E6" w:rsidRPr="00DD57E3">
              <w:rPr>
                <w:rFonts w:ascii="Times New Roman" w:hAnsi="Times New Roman" w:cs="Times New Roman"/>
                <w:bCs/>
                <w:iCs/>
                <w:sz w:val="24"/>
                <w:szCs w:val="24"/>
                <w:lang w:val="ro-MD"/>
              </w:rPr>
              <w:t xml:space="preserve"> </w:t>
            </w:r>
            <w:r w:rsidR="00AD5520" w:rsidRPr="00DD57E3">
              <w:rPr>
                <w:rFonts w:ascii="Times New Roman" w:hAnsi="Times New Roman" w:cs="Times New Roman"/>
                <w:bCs/>
                <w:iCs/>
                <w:sz w:val="24"/>
                <w:szCs w:val="24"/>
                <w:lang w:val="ro-MD"/>
              </w:rPr>
              <w:t xml:space="preserve">adoptarea unei legi distincte, </w:t>
            </w:r>
            <w:r w:rsidR="00BE64E6" w:rsidRPr="00DD57E3">
              <w:rPr>
                <w:rFonts w:ascii="Times New Roman" w:hAnsi="Times New Roman" w:cs="Times New Roman"/>
                <w:bCs/>
                <w:iCs/>
                <w:sz w:val="24"/>
                <w:szCs w:val="24"/>
                <w:lang w:val="ro-MD"/>
              </w:rPr>
              <w:t xml:space="preserve">va stabili cadru legal special care să asigure promovarea transportului rutier nepoluant și eficient energetic, </w:t>
            </w:r>
            <w:r w:rsidR="00AD5520" w:rsidRPr="00DD57E3">
              <w:rPr>
                <w:rFonts w:ascii="Times New Roman" w:hAnsi="Times New Roman" w:cs="Times New Roman"/>
                <w:bCs/>
                <w:iCs/>
                <w:sz w:val="24"/>
                <w:szCs w:val="24"/>
                <w:lang w:val="ro-MD"/>
              </w:rPr>
              <w:t xml:space="preserve">precum </w:t>
            </w:r>
            <w:r w:rsidR="00BE64E6" w:rsidRPr="00DD57E3">
              <w:rPr>
                <w:rFonts w:ascii="Times New Roman" w:hAnsi="Times New Roman" w:cs="Times New Roman"/>
                <w:bCs/>
                <w:iCs/>
                <w:sz w:val="24"/>
                <w:szCs w:val="24"/>
                <w:lang w:val="ro-MD"/>
              </w:rPr>
              <w:t>și va completa legisla</w:t>
            </w:r>
            <w:r w:rsidR="0059600E" w:rsidRPr="00DD57E3">
              <w:rPr>
                <w:rFonts w:ascii="Times New Roman" w:hAnsi="Times New Roman" w:cs="Times New Roman"/>
                <w:bCs/>
                <w:iCs/>
                <w:sz w:val="24"/>
                <w:szCs w:val="24"/>
                <w:lang w:val="ro-MD"/>
              </w:rPr>
              <w:t>ția</w:t>
            </w:r>
            <w:r w:rsidR="00BE64E6" w:rsidRPr="00DD57E3">
              <w:rPr>
                <w:rFonts w:ascii="Times New Roman" w:hAnsi="Times New Roman" w:cs="Times New Roman"/>
                <w:bCs/>
                <w:iCs/>
                <w:sz w:val="24"/>
                <w:szCs w:val="24"/>
                <w:lang w:val="ro-MD"/>
              </w:rPr>
              <w:t xml:space="preserve"> în vigoare </w:t>
            </w:r>
            <w:r w:rsidR="0059600E" w:rsidRPr="00DD57E3">
              <w:rPr>
                <w:rFonts w:ascii="Times New Roman" w:hAnsi="Times New Roman" w:cs="Times New Roman"/>
                <w:bCs/>
                <w:iCs/>
                <w:sz w:val="24"/>
                <w:szCs w:val="24"/>
                <w:lang w:val="ro-MD"/>
              </w:rPr>
              <w:t xml:space="preserve">din </w:t>
            </w:r>
            <w:r w:rsidR="00BE64E6" w:rsidRPr="00DD57E3">
              <w:rPr>
                <w:rFonts w:ascii="Times New Roman" w:hAnsi="Times New Roman" w:cs="Times New Roman"/>
                <w:bCs/>
                <w:iCs/>
                <w:sz w:val="24"/>
                <w:szCs w:val="24"/>
                <w:lang w:val="ro-MD"/>
              </w:rPr>
              <w:t>domenii</w:t>
            </w:r>
            <w:r w:rsidR="0059600E" w:rsidRPr="00DD57E3">
              <w:rPr>
                <w:rFonts w:ascii="Times New Roman" w:hAnsi="Times New Roman" w:cs="Times New Roman"/>
                <w:bCs/>
                <w:iCs/>
                <w:sz w:val="24"/>
                <w:szCs w:val="24"/>
                <w:lang w:val="ro-MD"/>
              </w:rPr>
              <w:t>le</w:t>
            </w:r>
            <w:r w:rsidR="00BE64E6" w:rsidRPr="00DD57E3">
              <w:rPr>
                <w:rFonts w:ascii="Times New Roman" w:hAnsi="Times New Roman" w:cs="Times New Roman"/>
                <w:bCs/>
                <w:iCs/>
                <w:sz w:val="24"/>
                <w:szCs w:val="24"/>
                <w:lang w:val="ro-MD"/>
              </w:rPr>
              <w:t xml:space="preserve"> transportului, achiziții publice, eficiență energetică și de mediu, cu prevederi speciale care să reglementeze distinct și mod focusat </w:t>
            </w:r>
            <w:r w:rsidRPr="00DD57E3">
              <w:rPr>
                <w:rFonts w:ascii="Times New Roman" w:hAnsi="Times New Roman" w:cs="Times New Roman"/>
                <w:bCs/>
                <w:iCs/>
                <w:sz w:val="24"/>
                <w:szCs w:val="24"/>
                <w:lang w:val="ro-MD"/>
              </w:rPr>
              <w:t>obligația autorităților și entităților contractante de a se contribui la</w:t>
            </w:r>
            <w:r w:rsidRPr="00DD57E3">
              <w:rPr>
                <w:rFonts w:ascii="Times New Roman" w:eastAsia="Times New Roman" w:hAnsi="Times New Roman" w:cs="Times New Roman"/>
                <w:bCs/>
                <w:sz w:val="24"/>
                <w:szCs w:val="24"/>
                <w:lang w:val="ro-MD"/>
              </w:rPr>
              <w:t xml:space="preserve"> a</w:t>
            </w:r>
            <w:r w:rsidRPr="00DD57E3">
              <w:rPr>
                <w:rFonts w:ascii="Times New Roman" w:hAnsi="Times New Roman" w:cs="Times New Roman"/>
                <w:bCs/>
                <w:iCs/>
                <w:sz w:val="24"/>
                <w:szCs w:val="24"/>
                <w:lang w:val="ro-MD"/>
              </w:rPr>
              <w:t>tingerea țintelor pentru achizițiile de vehicule nepoluante</w:t>
            </w:r>
            <w:r w:rsidR="00BE64E6" w:rsidRPr="00DD57E3">
              <w:rPr>
                <w:rFonts w:ascii="Times New Roman" w:eastAsia="Times New Roman" w:hAnsi="Times New Roman" w:cs="Times New Roman"/>
                <w:bCs/>
                <w:sz w:val="24"/>
                <w:szCs w:val="24"/>
                <w:lang w:val="ro-MD"/>
              </w:rPr>
              <w:t xml:space="preserve">.   </w:t>
            </w:r>
            <w:r w:rsidR="00BE64E6" w:rsidRPr="00DD57E3">
              <w:rPr>
                <w:rFonts w:ascii="Times New Roman" w:hAnsi="Times New Roman" w:cs="Times New Roman"/>
                <w:bCs/>
                <w:iCs/>
                <w:sz w:val="24"/>
                <w:szCs w:val="24"/>
                <w:lang w:val="ro-MD"/>
              </w:rPr>
              <w:t xml:space="preserve">  </w:t>
            </w:r>
          </w:p>
          <w:p w14:paraId="1ADFC85F" w14:textId="57EA5045" w:rsidR="009A4DA9" w:rsidRPr="00DD57E3" w:rsidRDefault="009A4DA9" w:rsidP="00BE64E6">
            <w:pPr>
              <w:tabs>
                <w:tab w:val="left" w:pos="241"/>
                <w:tab w:val="left" w:pos="315"/>
                <w:tab w:val="left" w:pos="599"/>
                <w:tab w:val="left" w:pos="922"/>
              </w:tabs>
              <w:spacing w:before="120" w:after="120" w:line="240" w:lineRule="auto"/>
              <w:ind w:right="45"/>
              <w:jc w:val="both"/>
              <w:rPr>
                <w:rFonts w:ascii="Times New Roman" w:hAnsi="Times New Roman" w:cs="Times New Roman"/>
                <w:i/>
                <w:sz w:val="24"/>
                <w:szCs w:val="24"/>
                <w:lang w:val="ro-MD"/>
              </w:rPr>
            </w:pPr>
            <w:r w:rsidRPr="00DD57E3">
              <w:rPr>
                <w:rFonts w:ascii="Times New Roman" w:hAnsi="Times New Roman" w:cs="Times New Roman"/>
                <w:bCs/>
                <w:i/>
                <w:sz w:val="24"/>
                <w:szCs w:val="24"/>
                <w:lang w:val="ro-MD"/>
              </w:rPr>
              <w:t>3) Elaborarea unui act normativ secundar, hotărâre de Guvern.</w:t>
            </w:r>
          </w:p>
          <w:p w14:paraId="0DA98744" w14:textId="24C77297" w:rsidR="007A7396" w:rsidRPr="00DD57E3" w:rsidRDefault="009F5951" w:rsidP="003B1EF8">
            <w:pPr>
              <w:spacing w:before="120" w:after="60" w:line="240" w:lineRule="auto"/>
              <w:jc w:val="both"/>
              <w:rPr>
                <w:rFonts w:ascii="Times New Roman" w:hAnsi="Times New Roman" w:cs="Times New Roman"/>
                <w:sz w:val="24"/>
                <w:szCs w:val="28"/>
                <w:lang w:val="ro-MD"/>
              </w:rPr>
            </w:pPr>
            <w:r w:rsidRPr="00DD57E3">
              <w:rPr>
                <w:rFonts w:ascii="Times New Roman" w:hAnsi="Times New Roman" w:cs="Times New Roman"/>
                <w:bCs/>
                <w:iCs/>
                <w:sz w:val="24"/>
                <w:szCs w:val="28"/>
                <w:lang w:val="ro-MD"/>
              </w:rPr>
              <w:t xml:space="preserve">Această opțiune </w:t>
            </w:r>
            <w:r w:rsidR="001A1DFA" w:rsidRPr="00DD57E3">
              <w:rPr>
                <w:rFonts w:ascii="Times New Roman" w:hAnsi="Times New Roman" w:cs="Times New Roman"/>
                <w:bCs/>
                <w:iCs/>
                <w:sz w:val="24"/>
                <w:szCs w:val="28"/>
                <w:lang w:val="ro-MD"/>
              </w:rPr>
              <w:t xml:space="preserve">nu poate fi implementată întrucât </w:t>
            </w:r>
            <w:r w:rsidR="001A1DFA" w:rsidRPr="00DD57E3">
              <w:rPr>
                <w:rFonts w:ascii="Times New Roman" w:hAnsi="Times New Roman" w:cs="Times New Roman"/>
                <w:sz w:val="24"/>
                <w:szCs w:val="28"/>
                <w:lang w:val="ro-MD"/>
              </w:rPr>
              <w:t xml:space="preserve">art. 2 alin. (1) din Directiva </w:t>
            </w:r>
            <w:r w:rsidR="001A1DFA" w:rsidRPr="00DD57E3">
              <w:rPr>
                <w:rFonts w:ascii="Times New Roman" w:hAnsi="Times New Roman" w:cs="Times New Roman"/>
                <w:bCs/>
                <w:iCs/>
                <w:sz w:val="24"/>
                <w:szCs w:val="28"/>
                <w:lang w:val="ro-MD"/>
              </w:rPr>
              <w:t xml:space="preserve">2019/1161 (de actualizare a Directivei 2009/33/CE) nu prevede o altă </w:t>
            </w:r>
            <w:r w:rsidR="00AD5520" w:rsidRPr="00DD57E3">
              <w:rPr>
                <w:rFonts w:ascii="Times New Roman" w:hAnsi="Times New Roman" w:cs="Times New Roman"/>
                <w:bCs/>
                <w:iCs/>
                <w:sz w:val="24"/>
                <w:szCs w:val="28"/>
                <w:lang w:val="ro-MD"/>
              </w:rPr>
              <w:t xml:space="preserve">alternativă </w:t>
            </w:r>
            <w:r w:rsidR="001A1DFA" w:rsidRPr="00DD57E3">
              <w:rPr>
                <w:rFonts w:ascii="Times New Roman" w:hAnsi="Times New Roman" w:cs="Times New Roman"/>
                <w:bCs/>
                <w:iCs/>
                <w:sz w:val="24"/>
                <w:szCs w:val="28"/>
                <w:lang w:val="ro-MD"/>
              </w:rPr>
              <w:t>de transpunere a Directive</w:t>
            </w:r>
            <w:r w:rsidR="00A16D80" w:rsidRPr="00DD57E3">
              <w:rPr>
                <w:rFonts w:ascii="Times New Roman" w:hAnsi="Times New Roman" w:cs="Times New Roman"/>
                <w:bCs/>
                <w:iCs/>
                <w:sz w:val="24"/>
                <w:szCs w:val="28"/>
                <w:lang w:val="ro-MD"/>
              </w:rPr>
              <w:t>i decât prin act legislativ la nivel de lege. Potrivit acesteia „</w:t>
            </w:r>
            <w:r w:rsidR="00A16D80" w:rsidRPr="00DD57E3">
              <w:rPr>
                <w:rFonts w:ascii="Times New Roman" w:hAnsi="Times New Roman" w:cs="Times New Roman"/>
                <w:i/>
                <w:sz w:val="24"/>
                <w:szCs w:val="28"/>
                <w:lang w:val="ro-MD"/>
              </w:rPr>
              <w:t xml:space="preserve">Statele membre asigură intrarea în vigoare </w:t>
            </w:r>
            <w:r w:rsidR="00A16D80" w:rsidRPr="00DD57E3">
              <w:rPr>
                <w:rFonts w:ascii="Times New Roman" w:hAnsi="Times New Roman" w:cs="Times New Roman"/>
                <w:b/>
                <w:i/>
                <w:sz w:val="24"/>
                <w:szCs w:val="28"/>
                <w:lang w:val="ro-MD"/>
              </w:rPr>
              <w:t>a actelor cu putere de lege și a actelor administrative necesare</w:t>
            </w:r>
            <w:r w:rsidR="00A16D80" w:rsidRPr="00DD57E3">
              <w:rPr>
                <w:rFonts w:ascii="Times New Roman" w:hAnsi="Times New Roman" w:cs="Times New Roman"/>
                <w:i/>
                <w:sz w:val="24"/>
                <w:szCs w:val="28"/>
                <w:lang w:val="ro-MD"/>
              </w:rPr>
              <w:t xml:space="preserve"> pentru a se conforma prezentei directive până la 2 august 2021”. </w:t>
            </w:r>
            <w:r w:rsidR="006553DA" w:rsidRPr="00DD57E3">
              <w:rPr>
                <w:rFonts w:ascii="Times New Roman" w:hAnsi="Times New Roman" w:cs="Times New Roman"/>
                <w:sz w:val="24"/>
                <w:szCs w:val="28"/>
                <w:lang w:val="ro-MD"/>
              </w:rPr>
              <w:t xml:space="preserve">Norma respectivă </w:t>
            </w:r>
            <w:r w:rsidR="00A16D80" w:rsidRPr="00DD57E3">
              <w:rPr>
                <w:rFonts w:ascii="Times New Roman" w:hAnsi="Times New Roman" w:cs="Times New Roman"/>
                <w:sz w:val="24"/>
                <w:szCs w:val="28"/>
                <w:lang w:val="ro-MD"/>
              </w:rPr>
              <w:t xml:space="preserve">nu </w:t>
            </w:r>
            <w:r w:rsidR="004D7BBB" w:rsidRPr="00DD57E3">
              <w:rPr>
                <w:rFonts w:ascii="Times New Roman" w:hAnsi="Times New Roman" w:cs="Times New Roman"/>
                <w:sz w:val="24"/>
                <w:szCs w:val="28"/>
                <w:lang w:val="ro-MD"/>
              </w:rPr>
              <w:t xml:space="preserve">stabilește </w:t>
            </w:r>
            <w:r w:rsidR="00AD5520" w:rsidRPr="00DD57E3">
              <w:rPr>
                <w:rFonts w:ascii="Times New Roman" w:hAnsi="Times New Roman" w:cs="Times New Roman"/>
                <w:sz w:val="24"/>
                <w:szCs w:val="28"/>
                <w:lang w:val="ro-MD"/>
              </w:rPr>
              <w:t xml:space="preserve">opțiunea </w:t>
            </w:r>
            <w:r w:rsidR="00A16D80" w:rsidRPr="00DD57E3">
              <w:rPr>
                <w:rFonts w:ascii="Times New Roman" w:hAnsi="Times New Roman" w:cs="Times New Roman"/>
                <w:sz w:val="24"/>
                <w:szCs w:val="28"/>
                <w:lang w:val="ro-MD"/>
              </w:rPr>
              <w:t>de transpune</w:t>
            </w:r>
            <w:r w:rsidR="004D7BBB" w:rsidRPr="00DD57E3">
              <w:rPr>
                <w:rFonts w:ascii="Times New Roman" w:hAnsi="Times New Roman" w:cs="Times New Roman"/>
                <w:sz w:val="24"/>
                <w:szCs w:val="28"/>
                <w:lang w:val="ro-MD"/>
              </w:rPr>
              <w:t>re</w:t>
            </w:r>
            <w:r w:rsidR="00A16D80" w:rsidRPr="00DD57E3">
              <w:rPr>
                <w:rFonts w:ascii="Times New Roman" w:hAnsi="Times New Roman" w:cs="Times New Roman"/>
                <w:sz w:val="24"/>
                <w:szCs w:val="28"/>
                <w:lang w:val="ro-MD"/>
              </w:rPr>
              <w:t xml:space="preserve"> prin </w:t>
            </w:r>
            <w:r w:rsidR="00A16D80" w:rsidRPr="00DD57E3">
              <w:rPr>
                <w:rFonts w:ascii="Times New Roman" w:hAnsi="Times New Roman" w:cs="Times New Roman"/>
                <w:i/>
                <w:sz w:val="24"/>
                <w:szCs w:val="28"/>
                <w:lang w:val="ro-MD"/>
              </w:rPr>
              <w:t>acte cu putere de lege</w:t>
            </w:r>
            <w:r w:rsidR="00A16D80" w:rsidRPr="00DD57E3">
              <w:rPr>
                <w:rFonts w:ascii="Times New Roman" w:hAnsi="Times New Roman" w:cs="Times New Roman"/>
                <w:b/>
                <w:i/>
                <w:sz w:val="24"/>
                <w:szCs w:val="28"/>
                <w:lang w:val="ro-MD"/>
              </w:rPr>
              <w:t xml:space="preserve"> sau</w:t>
            </w:r>
            <w:r w:rsidR="00A16D80" w:rsidRPr="00DD57E3">
              <w:rPr>
                <w:rFonts w:ascii="Times New Roman" w:hAnsi="Times New Roman" w:cs="Times New Roman"/>
                <w:i/>
                <w:sz w:val="24"/>
                <w:szCs w:val="28"/>
                <w:lang w:val="ro-MD"/>
              </w:rPr>
              <w:t xml:space="preserve"> acte administrativ</w:t>
            </w:r>
            <w:r w:rsidR="004D7BBB" w:rsidRPr="00DD57E3">
              <w:rPr>
                <w:rFonts w:ascii="Times New Roman" w:hAnsi="Times New Roman" w:cs="Times New Roman"/>
                <w:i/>
                <w:sz w:val="24"/>
                <w:szCs w:val="28"/>
                <w:lang w:val="ro-MD"/>
              </w:rPr>
              <w:t>e</w:t>
            </w:r>
            <w:r w:rsidR="00A16D80" w:rsidRPr="00DD57E3">
              <w:rPr>
                <w:rFonts w:ascii="Times New Roman" w:hAnsi="Times New Roman" w:cs="Times New Roman"/>
                <w:i/>
                <w:sz w:val="24"/>
                <w:szCs w:val="28"/>
                <w:lang w:val="ro-MD"/>
              </w:rPr>
              <w:t xml:space="preserve">. </w:t>
            </w:r>
            <w:r w:rsidR="00A16D80" w:rsidRPr="00DD57E3">
              <w:rPr>
                <w:rFonts w:ascii="Times New Roman" w:hAnsi="Times New Roman" w:cs="Times New Roman"/>
                <w:sz w:val="24"/>
                <w:szCs w:val="28"/>
                <w:lang w:val="ro-MD"/>
              </w:rPr>
              <w:t>Conjuncția „</w:t>
            </w:r>
            <w:r w:rsidR="00A16D80" w:rsidRPr="00DD57E3">
              <w:rPr>
                <w:rFonts w:ascii="Times New Roman" w:hAnsi="Times New Roman" w:cs="Times New Roman"/>
                <w:i/>
                <w:sz w:val="24"/>
                <w:szCs w:val="28"/>
                <w:lang w:val="ro-MD"/>
              </w:rPr>
              <w:t>și”</w:t>
            </w:r>
            <w:r w:rsidR="00A16D80" w:rsidRPr="00DD57E3">
              <w:rPr>
                <w:rFonts w:ascii="Times New Roman" w:hAnsi="Times New Roman" w:cs="Times New Roman"/>
                <w:sz w:val="24"/>
                <w:szCs w:val="28"/>
                <w:lang w:val="ro-MD"/>
              </w:rPr>
              <w:t xml:space="preserve"> </w:t>
            </w:r>
            <w:r w:rsidR="004D7BBB" w:rsidRPr="00DD57E3">
              <w:rPr>
                <w:rFonts w:ascii="Times New Roman" w:hAnsi="Times New Roman" w:cs="Times New Roman"/>
                <w:sz w:val="24"/>
                <w:szCs w:val="28"/>
                <w:lang w:val="ro-MD"/>
              </w:rPr>
              <w:t>cu care operează Directiv</w:t>
            </w:r>
            <w:r w:rsidR="006553DA" w:rsidRPr="00DD57E3">
              <w:rPr>
                <w:rFonts w:ascii="Times New Roman" w:hAnsi="Times New Roman" w:cs="Times New Roman"/>
                <w:sz w:val="24"/>
                <w:szCs w:val="28"/>
                <w:lang w:val="ro-MD"/>
              </w:rPr>
              <w:t>a</w:t>
            </w:r>
            <w:r w:rsidR="004D7BBB" w:rsidRPr="00DD57E3">
              <w:rPr>
                <w:rFonts w:ascii="Times New Roman" w:hAnsi="Times New Roman" w:cs="Times New Roman"/>
                <w:sz w:val="24"/>
                <w:szCs w:val="28"/>
                <w:lang w:val="ro-MD"/>
              </w:rPr>
              <w:t xml:space="preserve"> </w:t>
            </w:r>
            <w:r w:rsidR="00A16D80" w:rsidRPr="00DD57E3">
              <w:rPr>
                <w:rFonts w:ascii="Times New Roman" w:hAnsi="Times New Roman" w:cs="Times New Roman"/>
                <w:sz w:val="24"/>
                <w:szCs w:val="28"/>
                <w:lang w:val="ro-MD"/>
              </w:rPr>
              <w:t xml:space="preserve">semnifică </w:t>
            </w:r>
            <w:r w:rsidR="004D7BBB" w:rsidRPr="00DD57E3">
              <w:rPr>
                <w:rFonts w:ascii="Times New Roman" w:hAnsi="Times New Roman" w:cs="Times New Roman"/>
                <w:sz w:val="24"/>
                <w:szCs w:val="28"/>
                <w:lang w:val="ro-MD"/>
              </w:rPr>
              <w:t xml:space="preserve">o enumerare cumulativă și impune </w:t>
            </w:r>
            <w:r w:rsidR="00A16D80" w:rsidRPr="00DD57E3">
              <w:rPr>
                <w:rFonts w:ascii="Times New Roman" w:hAnsi="Times New Roman" w:cs="Times New Roman"/>
                <w:sz w:val="24"/>
                <w:szCs w:val="28"/>
                <w:lang w:val="ro-MD"/>
              </w:rPr>
              <w:t xml:space="preserve">statelor </w:t>
            </w:r>
            <w:r w:rsidR="004D7BBB" w:rsidRPr="00DD57E3">
              <w:rPr>
                <w:rFonts w:ascii="Times New Roman" w:hAnsi="Times New Roman" w:cs="Times New Roman"/>
                <w:sz w:val="24"/>
                <w:szCs w:val="28"/>
                <w:lang w:val="ro-MD"/>
              </w:rPr>
              <w:t xml:space="preserve">obligația </w:t>
            </w:r>
            <w:r w:rsidR="00A16D80" w:rsidRPr="00DD57E3">
              <w:rPr>
                <w:rFonts w:ascii="Times New Roman" w:hAnsi="Times New Roman" w:cs="Times New Roman"/>
                <w:sz w:val="24"/>
                <w:szCs w:val="28"/>
                <w:lang w:val="ro-MD"/>
              </w:rPr>
              <w:t>de a adopta atât legea de transpunere a</w:t>
            </w:r>
            <w:r w:rsidR="006553DA" w:rsidRPr="00DD57E3">
              <w:rPr>
                <w:rFonts w:ascii="Times New Roman" w:hAnsi="Times New Roman" w:cs="Times New Roman"/>
                <w:sz w:val="24"/>
                <w:szCs w:val="28"/>
                <w:lang w:val="ro-MD"/>
              </w:rPr>
              <w:t xml:space="preserve"> acesteia</w:t>
            </w:r>
            <w:r w:rsidR="00A16D80" w:rsidRPr="00DD57E3">
              <w:rPr>
                <w:rFonts w:ascii="Times New Roman" w:hAnsi="Times New Roman" w:cs="Times New Roman"/>
                <w:sz w:val="24"/>
                <w:szCs w:val="28"/>
                <w:lang w:val="ro-MD"/>
              </w:rPr>
              <w:t xml:space="preserve">, cât și acte administrative necesare pentru </w:t>
            </w:r>
            <w:r w:rsidR="00BD06A8" w:rsidRPr="00DD57E3">
              <w:rPr>
                <w:rFonts w:ascii="Times New Roman" w:hAnsi="Times New Roman" w:cs="Times New Roman"/>
                <w:sz w:val="24"/>
                <w:szCs w:val="28"/>
                <w:lang w:val="ro-MD"/>
              </w:rPr>
              <w:t xml:space="preserve">implementarea </w:t>
            </w:r>
            <w:r w:rsidR="006553DA" w:rsidRPr="00DD57E3">
              <w:rPr>
                <w:rFonts w:ascii="Times New Roman" w:hAnsi="Times New Roman" w:cs="Times New Roman"/>
                <w:sz w:val="24"/>
                <w:szCs w:val="28"/>
                <w:lang w:val="ro-MD"/>
              </w:rPr>
              <w:t>legii respective</w:t>
            </w:r>
            <w:r w:rsidR="00A16D80" w:rsidRPr="00DD57E3">
              <w:rPr>
                <w:rFonts w:ascii="Times New Roman" w:hAnsi="Times New Roman" w:cs="Times New Roman"/>
                <w:sz w:val="24"/>
                <w:szCs w:val="28"/>
                <w:lang w:val="ro-MD"/>
              </w:rPr>
              <w:t xml:space="preserve">. </w:t>
            </w:r>
          </w:p>
          <w:p w14:paraId="5CD9A1A4" w14:textId="034660F5" w:rsidR="00E2249C" w:rsidRPr="00DD57E3" w:rsidRDefault="00A16D80" w:rsidP="003D6CC3">
            <w:pPr>
              <w:spacing w:before="120" w:after="60" w:line="240" w:lineRule="auto"/>
              <w:jc w:val="both"/>
              <w:rPr>
                <w:rFonts w:ascii="Times New Roman" w:hAnsi="Times New Roman" w:cs="Times New Roman"/>
                <w:sz w:val="24"/>
                <w:szCs w:val="28"/>
                <w:lang w:val="ro-MD"/>
              </w:rPr>
            </w:pPr>
            <w:r w:rsidRPr="00DD57E3">
              <w:rPr>
                <w:rFonts w:ascii="Times New Roman" w:hAnsi="Times New Roman" w:cs="Times New Roman"/>
                <w:sz w:val="24"/>
                <w:szCs w:val="28"/>
                <w:lang w:val="ro-MD"/>
              </w:rPr>
              <w:t xml:space="preserve">Un alt argument care </w:t>
            </w:r>
            <w:r w:rsidR="00936FA0" w:rsidRPr="00DD57E3">
              <w:rPr>
                <w:rFonts w:ascii="Times New Roman" w:hAnsi="Times New Roman" w:cs="Times New Roman"/>
                <w:sz w:val="24"/>
                <w:szCs w:val="28"/>
                <w:lang w:val="ro-MD"/>
              </w:rPr>
              <w:t xml:space="preserve">denotă imposibilitatea transpunerii Directivei printr-o hotărâre de Guvern este natura juridică și </w:t>
            </w:r>
            <w:r w:rsidR="00E2249C" w:rsidRPr="00DD57E3">
              <w:rPr>
                <w:rFonts w:ascii="Times New Roman" w:hAnsi="Times New Roman" w:cs="Times New Roman"/>
                <w:sz w:val="24"/>
                <w:szCs w:val="28"/>
                <w:lang w:val="ro-MD"/>
              </w:rPr>
              <w:t xml:space="preserve">sfera de acțiune </w:t>
            </w:r>
            <w:r w:rsidR="00936FA0" w:rsidRPr="00DD57E3">
              <w:rPr>
                <w:rFonts w:ascii="Times New Roman" w:hAnsi="Times New Roman" w:cs="Times New Roman"/>
                <w:sz w:val="24"/>
                <w:szCs w:val="28"/>
                <w:lang w:val="ro-MD"/>
              </w:rPr>
              <w:t xml:space="preserve">a actelor normative </w:t>
            </w:r>
            <w:r w:rsidR="00E2249C" w:rsidRPr="00DD57E3">
              <w:rPr>
                <w:rFonts w:ascii="Times New Roman" w:hAnsi="Times New Roman" w:cs="Times New Roman"/>
                <w:sz w:val="24"/>
                <w:szCs w:val="28"/>
                <w:lang w:val="ro-MD"/>
              </w:rPr>
              <w:t xml:space="preserve">subordonate legii. </w:t>
            </w:r>
            <w:r w:rsidR="00936FA0" w:rsidRPr="00DD57E3">
              <w:rPr>
                <w:rFonts w:ascii="Times New Roman" w:hAnsi="Times New Roman" w:cs="Times New Roman"/>
                <w:sz w:val="24"/>
                <w:szCs w:val="28"/>
                <w:lang w:val="ro-MD"/>
              </w:rPr>
              <w:t>În conformitate cu art. 14 al Legii nr. 100/2017 cu privire la actele normative</w:t>
            </w:r>
            <w:r w:rsidR="003B1EF8" w:rsidRPr="00DD57E3">
              <w:rPr>
                <w:rFonts w:ascii="Times New Roman" w:hAnsi="Times New Roman" w:cs="Times New Roman"/>
                <w:sz w:val="24"/>
                <w:szCs w:val="28"/>
                <w:lang w:val="ro-MD"/>
              </w:rPr>
              <w:t>: „</w:t>
            </w:r>
            <w:r w:rsidR="003B1EF8" w:rsidRPr="00DD57E3">
              <w:rPr>
                <w:rFonts w:ascii="Times New Roman" w:hAnsi="Times New Roman" w:cs="Times New Roman"/>
                <w:i/>
                <w:sz w:val="24"/>
                <w:szCs w:val="28"/>
                <w:lang w:val="ro-MD"/>
              </w:rPr>
              <w:t xml:space="preserve">Hotărârea Guvernului este un act care se adoptă de către Guvern </w:t>
            </w:r>
            <w:r w:rsidR="003B1EF8" w:rsidRPr="00DD57E3">
              <w:rPr>
                <w:rFonts w:ascii="Times New Roman" w:hAnsi="Times New Roman" w:cs="Times New Roman"/>
                <w:b/>
                <w:i/>
                <w:sz w:val="24"/>
                <w:szCs w:val="28"/>
                <w:lang w:val="ro-MD"/>
              </w:rPr>
              <w:t>pentru organizarea executării legilor</w:t>
            </w:r>
            <w:r w:rsidR="003B1EF8" w:rsidRPr="00DD57E3">
              <w:rPr>
                <w:rFonts w:ascii="Times New Roman" w:hAnsi="Times New Roman" w:cs="Times New Roman"/>
                <w:i/>
                <w:sz w:val="24"/>
                <w:szCs w:val="28"/>
                <w:lang w:val="ro-MD"/>
              </w:rPr>
              <w:t>”.</w:t>
            </w:r>
            <w:r w:rsidR="003B1EF8" w:rsidRPr="00DD57E3">
              <w:rPr>
                <w:rFonts w:ascii="Times New Roman" w:hAnsi="Times New Roman" w:cs="Times New Roman"/>
                <w:sz w:val="24"/>
                <w:szCs w:val="28"/>
                <w:lang w:val="ro-MD"/>
              </w:rPr>
              <w:t xml:space="preserve"> </w:t>
            </w:r>
            <w:r w:rsidR="00E1514A" w:rsidRPr="00DD57E3">
              <w:rPr>
                <w:rFonts w:ascii="Times New Roman" w:hAnsi="Times New Roman" w:cs="Times New Roman"/>
                <w:sz w:val="24"/>
                <w:szCs w:val="28"/>
                <w:lang w:val="ro-MD"/>
              </w:rPr>
              <w:t xml:space="preserve">Prevedere similară </w:t>
            </w:r>
            <w:r w:rsidR="00785D8F" w:rsidRPr="00DD57E3">
              <w:rPr>
                <w:rFonts w:ascii="Times New Roman" w:hAnsi="Times New Roman" w:cs="Times New Roman"/>
                <w:sz w:val="24"/>
                <w:szCs w:val="28"/>
                <w:lang w:val="ro-MD"/>
              </w:rPr>
              <w:t xml:space="preserve">se regăsește </w:t>
            </w:r>
            <w:r w:rsidR="00E1514A" w:rsidRPr="00DD57E3">
              <w:rPr>
                <w:rFonts w:ascii="Times New Roman" w:hAnsi="Times New Roman" w:cs="Times New Roman"/>
                <w:sz w:val="24"/>
                <w:szCs w:val="28"/>
                <w:lang w:val="ro-MD"/>
              </w:rPr>
              <w:t xml:space="preserve">și </w:t>
            </w:r>
            <w:r w:rsidR="00E2249C" w:rsidRPr="00DD57E3">
              <w:rPr>
                <w:rFonts w:ascii="Times New Roman" w:hAnsi="Times New Roman" w:cs="Times New Roman"/>
                <w:sz w:val="24"/>
                <w:szCs w:val="28"/>
                <w:lang w:val="ro-MD"/>
              </w:rPr>
              <w:t>la</w:t>
            </w:r>
            <w:r w:rsidR="00E1514A" w:rsidRPr="00DD57E3">
              <w:rPr>
                <w:rFonts w:ascii="Times New Roman" w:hAnsi="Times New Roman" w:cs="Times New Roman"/>
                <w:sz w:val="24"/>
                <w:szCs w:val="28"/>
                <w:lang w:val="ro-MD"/>
              </w:rPr>
              <w:t xml:space="preserve"> art. </w:t>
            </w:r>
            <w:r w:rsidR="00E2249C" w:rsidRPr="00DD57E3">
              <w:rPr>
                <w:rFonts w:ascii="Times New Roman" w:hAnsi="Times New Roman" w:cs="Times New Roman"/>
                <w:sz w:val="24"/>
                <w:szCs w:val="28"/>
                <w:lang w:val="ro-MD"/>
              </w:rPr>
              <w:t xml:space="preserve">37 alin. (1) al </w:t>
            </w:r>
            <w:r w:rsidR="00E1514A" w:rsidRPr="00DD57E3">
              <w:rPr>
                <w:rFonts w:ascii="Times New Roman" w:hAnsi="Times New Roman" w:cs="Times New Roman"/>
                <w:sz w:val="24"/>
                <w:szCs w:val="28"/>
                <w:lang w:val="ro-MD"/>
              </w:rPr>
              <w:t>Leg</w:t>
            </w:r>
            <w:r w:rsidR="00E2249C" w:rsidRPr="00DD57E3">
              <w:rPr>
                <w:rFonts w:ascii="Times New Roman" w:hAnsi="Times New Roman" w:cs="Times New Roman"/>
                <w:sz w:val="24"/>
                <w:szCs w:val="28"/>
                <w:lang w:val="ro-MD"/>
              </w:rPr>
              <w:t>ii</w:t>
            </w:r>
            <w:r w:rsidR="00E1514A" w:rsidRPr="00DD57E3">
              <w:rPr>
                <w:rFonts w:ascii="Times New Roman" w:hAnsi="Times New Roman" w:cs="Times New Roman"/>
                <w:sz w:val="24"/>
                <w:szCs w:val="28"/>
                <w:lang w:val="ro-MD"/>
              </w:rPr>
              <w:t xml:space="preserve"> nr. 136/2017 cu privire la Guvern, potrivit căruia: „</w:t>
            </w:r>
            <w:r w:rsidR="00E1514A" w:rsidRPr="00DD57E3">
              <w:rPr>
                <w:rFonts w:ascii="Times New Roman" w:hAnsi="Times New Roman" w:cs="Times New Roman"/>
                <w:i/>
                <w:sz w:val="24"/>
                <w:szCs w:val="28"/>
                <w:lang w:val="ro-MD"/>
              </w:rPr>
              <w:t>Hotărârile se adoptă</w:t>
            </w:r>
            <w:r w:rsidR="00E1514A" w:rsidRPr="00DD57E3">
              <w:rPr>
                <w:rFonts w:ascii="Times New Roman" w:hAnsi="Times New Roman" w:cs="Times New Roman"/>
                <w:sz w:val="24"/>
                <w:szCs w:val="28"/>
                <w:lang w:val="ro-MD"/>
              </w:rPr>
              <w:t xml:space="preserve"> </w:t>
            </w:r>
            <w:r w:rsidR="00E1514A" w:rsidRPr="00DD57E3">
              <w:rPr>
                <w:rFonts w:ascii="Times New Roman" w:hAnsi="Times New Roman" w:cs="Times New Roman"/>
                <w:i/>
                <w:sz w:val="24"/>
                <w:szCs w:val="28"/>
                <w:lang w:val="ro-MD"/>
              </w:rPr>
              <w:t>pentru organizarea executării legilor</w:t>
            </w:r>
            <w:r w:rsidR="00E2249C" w:rsidRPr="00DD57E3">
              <w:rPr>
                <w:rFonts w:ascii="Times New Roman" w:hAnsi="Times New Roman" w:cs="Times New Roman"/>
                <w:i/>
                <w:sz w:val="24"/>
                <w:szCs w:val="28"/>
                <w:lang w:val="ro-MD"/>
              </w:rPr>
              <w:t>”</w:t>
            </w:r>
            <w:r w:rsidR="00E1514A" w:rsidRPr="00DD57E3">
              <w:rPr>
                <w:rFonts w:ascii="Times New Roman" w:hAnsi="Times New Roman" w:cs="Times New Roman"/>
                <w:sz w:val="24"/>
                <w:szCs w:val="28"/>
                <w:lang w:val="ro-MD"/>
              </w:rPr>
              <w:t>.</w:t>
            </w:r>
            <w:r w:rsidR="00E2249C" w:rsidRPr="00DD57E3">
              <w:rPr>
                <w:rFonts w:ascii="Times New Roman" w:hAnsi="Times New Roman" w:cs="Times New Roman"/>
                <w:sz w:val="24"/>
                <w:szCs w:val="28"/>
                <w:lang w:val="ro-MD"/>
              </w:rPr>
              <w:t xml:space="preserve"> Prin urmare, în lipsa cadrului legislativ primar privind promovarea vehiculelor de transport rutier nepoluante și eficiente din </w:t>
            </w:r>
            <w:r w:rsidR="00E2249C" w:rsidRPr="00DD57E3">
              <w:rPr>
                <w:rFonts w:ascii="Times New Roman" w:hAnsi="Times New Roman" w:cs="Times New Roman"/>
                <w:sz w:val="24"/>
                <w:szCs w:val="28"/>
                <w:lang w:val="ro-MD"/>
              </w:rPr>
              <w:lastRenderedPageBreak/>
              <w:t xml:space="preserve">punct de vedere energetic, nu există temei legal pentru adoptarea de către Guvern </w:t>
            </w:r>
            <w:r w:rsidR="00785D8F" w:rsidRPr="00DD57E3">
              <w:rPr>
                <w:rFonts w:ascii="Times New Roman" w:hAnsi="Times New Roman" w:cs="Times New Roman"/>
                <w:sz w:val="24"/>
                <w:szCs w:val="28"/>
                <w:lang w:val="ro-MD"/>
              </w:rPr>
              <w:t xml:space="preserve">a </w:t>
            </w:r>
            <w:r w:rsidR="00E2249C" w:rsidRPr="00DD57E3">
              <w:rPr>
                <w:rFonts w:ascii="Times New Roman" w:hAnsi="Times New Roman" w:cs="Times New Roman"/>
                <w:sz w:val="24"/>
                <w:szCs w:val="28"/>
                <w:lang w:val="ro-MD"/>
              </w:rPr>
              <w:t xml:space="preserve">unei hotărâri pentru organizarea executării </w:t>
            </w:r>
            <w:r w:rsidR="00785D8F" w:rsidRPr="00DD57E3">
              <w:rPr>
                <w:rFonts w:ascii="Times New Roman" w:hAnsi="Times New Roman" w:cs="Times New Roman"/>
                <w:sz w:val="24"/>
                <w:szCs w:val="28"/>
                <w:lang w:val="ro-MD"/>
              </w:rPr>
              <w:t xml:space="preserve">unor </w:t>
            </w:r>
            <w:r w:rsidR="00E2249C" w:rsidRPr="00DD57E3">
              <w:rPr>
                <w:rFonts w:ascii="Times New Roman" w:hAnsi="Times New Roman" w:cs="Times New Roman"/>
                <w:sz w:val="24"/>
                <w:szCs w:val="28"/>
                <w:lang w:val="ro-MD"/>
              </w:rPr>
              <w:t xml:space="preserve">norme legale. </w:t>
            </w:r>
          </w:p>
          <w:p w14:paraId="7A397B07" w14:textId="2D6A1819" w:rsidR="00E2249C" w:rsidRPr="00DD57E3" w:rsidRDefault="00E2249C">
            <w:pPr>
              <w:spacing w:before="120" w:after="60" w:line="240" w:lineRule="auto"/>
              <w:jc w:val="both"/>
              <w:rPr>
                <w:rFonts w:ascii="Times New Roman" w:hAnsi="Times New Roman" w:cs="Times New Roman"/>
                <w:bCs/>
                <w:iCs/>
                <w:sz w:val="24"/>
                <w:szCs w:val="24"/>
                <w:lang w:val="ro-MD"/>
              </w:rPr>
            </w:pPr>
            <w:r w:rsidRPr="00DD57E3">
              <w:rPr>
                <w:rFonts w:ascii="Times New Roman" w:hAnsi="Times New Roman" w:cs="Times New Roman"/>
                <w:b/>
                <w:bCs/>
                <w:iCs/>
                <w:sz w:val="24"/>
                <w:szCs w:val="24"/>
                <w:lang w:val="ro-MD"/>
              </w:rPr>
              <w:t>În concluzie</w:t>
            </w:r>
            <w:r w:rsidRPr="00DD57E3">
              <w:rPr>
                <w:rFonts w:ascii="Times New Roman" w:hAnsi="Times New Roman" w:cs="Times New Roman"/>
                <w:iCs/>
                <w:sz w:val="24"/>
                <w:szCs w:val="24"/>
                <w:lang w:val="ro-MD"/>
              </w:rPr>
              <w:t xml:space="preserve">, singura opțiune justificată din punct de vedere legal este </w:t>
            </w:r>
            <w:r w:rsidR="009F7CC5" w:rsidRPr="00DD57E3">
              <w:rPr>
                <w:rFonts w:ascii="Times New Roman" w:hAnsi="Times New Roman" w:cs="Times New Roman"/>
                <w:iCs/>
                <w:sz w:val="24"/>
                <w:szCs w:val="24"/>
                <w:lang w:val="ro-MD"/>
              </w:rPr>
              <w:t xml:space="preserve">transpunerea </w:t>
            </w:r>
            <w:r w:rsidR="009F7CC5" w:rsidRPr="00DD57E3">
              <w:rPr>
                <w:rFonts w:ascii="Times New Roman" w:hAnsi="Times New Roman" w:cs="Times New Roman"/>
                <w:sz w:val="24"/>
                <w:szCs w:val="24"/>
                <w:lang w:val="ro-MD"/>
              </w:rPr>
              <w:t xml:space="preserve">Directivei </w:t>
            </w:r>
            <w:r w:rsidR="009F7CC5" w:rsidRPr="00DD57E3">
              <w:rPr>
                <w:rFonts w:ascii="Times New Roman" w:hAnsi="Times New Roman" w:cs="Times New Roman"/>
                <w:bCs/>
                <w:iCs/>
                <w:sz w:val="24"/>
                <w:szCs w:val="24"/>
                <w:lang w:val="ro-MD"/>
              </w:rPr>
              <w:t>2009/33/CE</w:t>
            </w:r>
            <w:r w:rsidR="009F7CC5" w:rsidRPr="00DD57E3">
              <w:rPr>
                <w:rFonts w:ascii="Times New Roman" w:hAnsi="Times New Roman" w:cs="Times New Roman"/>
                <w:sz w:val="24"/>
                <w:szCs w:val="24"/>
                <w:lang w:val="ro-MD"/>
              </w:rPr>
              <w:t xml:space="preserve"> printr-un </w:t>
            </w:r>
            <w:r w:rsidRPr="00DD57E3">
              <w:rPr>
                <w:rFonts w:ascii="Times New Roman" w:hAnsi="Times New Roman" w:cs="Times New Roman"/>
                <w:sz w:val="24"/>
                <w:szCs w:val="24"/>
                <w:lang w:val="ro-MD"/>
              </w:rPr>
              <w:t xml:space="preserve">act legislativ </w:t>
            </w:r>
            <w:r w:rsidR="009F7CC5" w:rsidRPr="00DD57E3">
              <w:rPr>
                <w:rFonts w:ascii="Times New Roman" w:hAnsi="Times New Roman" w:cs="Times New Roman"/>
                <w:sz w:val="24"/>
                <w:szCs w:val="24"/>
                <w:lang w:val="ro-MD"/>
              </w:rPr>
              <w:t xml:space="preserve">distinct, care să </w:t>
            </w:r>
            <w:r w:rsidR="000B7A72" w:rsidRPr="00DD57E3">
              <w:rPr>
                <w:rFonts w:ascii="Times New Roman" w:hAnsi="Times New Roman" w:cs="Times New Roman"/>
                <w:sz w:val="24"/>
                <w:szCs w:val="24"/>
                <w:lang w:val="ro-MD"/>
              </w:rPr>
              <w:t xml:space="preserve">instituie norme speciale </w:t>
            </w:r>
            <w:r w:rsidRPr="00DD57E3">
              <w:rPr>
                <w:rFonts w:ascii="Times New Roman" w:hAnsi="Times New Roman" w:cs="Times New Roman"/>
                <w:sz w:val="24"/>
                <w:szCs w:val="24"/>
                <w:lang w:val="ro-MD"/>
              </w:rPr>
              <w:t>dedicat</w:t>
            </w:r>
            <w:r w:rsidR="000B7A72" w:rsidRPr="00DD57E3">
              <w:rPr>
                <w:rFonts w:ascii="Times New Roman" w:hAnsi="Times New Roman" w:cs="Times New Roman"/>
                <w:sz w:val="24"/>
                <w:szCs w:val="24"/>
                <w:lang w:val="ro-MD"/>
              </w:rPr>
              <w:t>e</w:t>
            </w:r>
            <w:r w:rsidRPr="00DD57E3">
              <w:rPr>
                <w:rFonts w:ascii="Times New Roman" w:hAnsi="Times New Roman" w:cs="Times New Roman"/>
                <w:sz w:val="24"/>
                <w:szCs w:val="24"/>
                <w:lang w:val="ro-MD"/>
              </w:rPr>
              <w:t xml:space="preserve"> promovării vehiculelor de transport rutier nepoluante și eficiente din punct de vedere energetic, în corespundere cu cerințele </w:t>
            </w:r>
            <w:r w:rsidR="00785D8F" w:rsidRPr="00DD57E3">
              <w:rPr>
                <w:rFonts w:ascii="Times New Roman" w:hAnsi="Times New Roman" w:cs="Times New Roman"/>
                <w:bCs/>
                <w:iCs/>
                <w:sz w:val="24"/>
                <w:szCs w:val="24"/>
                <w:lang w:val="ro-MD"/>
              </w:rPr>
              <w:t>Directivei 2009/33/CE</w:t>
            </w:r>
            <w:r w:rsidRPr="00DD57E3">
              <w:rPr>
                <w:rFonts w:ascii="Times New Roman" w:hAnsi="Times New Roman" w:cs="Times New Roman"/>
                <w:bCs/>
                <w:iCs/>
                <w:sz w:val="24"/>
                <w:szCs w:val="24"/>
                <w:lang w:val="ro-MD"/>
              </w:rPr>
              <w:t>.</w:t>
            </w:r>
          </w:p>
          <w:p w14:paraId="481393A9" w14:textId="6456B781" w:rsidR="005E475A" w:rsidRPr="00DD57E3" w:rsidRDefault="005E475A" w:rsidP="009164B4">
            <w:pPr>
              <w:spacing w:after="0" w:line="240" w:lineRule="auto"/>
              <w:jc w:val="both"/>
              <w:rPr>
                <w:rFonts w:ascii="Times New Roman" w:hAnsi="Times New Roman" w:cs="Times New Roman"/>
                <w:sz w:val="20"/>
                <w:szCs w:val="20"/>
                <w:lang w:val="ro-MD"/>
              </w:rPr>
            </w:pPr>
            <w:r w:rsidRPr="00DD57E3">
              <w:rPr>
                <w:rFonts w:ascii="Times New Roman" w:hAnsi="Times New Roman" w:cs="Times New Roman"/>
                <w:bCs/>
                <w:iCs/>
                <w:sz w:val="24"/>
                <w:szCs w:val="24"/>
                <w:lang w:val="ro-MD"/>
              </w:rPr>
              <w:t>Cu titlu de exemplu, transpunerea Directivei prin act legislativ distinct a fost realizată de către statele membre UE precum</w:t>
            </w:r>
            <w:r w:rsidR="00220BAC" w:rsidRPr="00DD57E3">
              <w:rPr>
                <w:rFonts w:ascii="Times New Roman" w:hAnsi="Times New Roman" w:cs="Times New Roman"/>
                <w:bCs/>
                <w:iCs/>
                <w:sz w:val="24"/>
                <w:szCs w:val="24"/>
                <w:lang w:val="ro-MD"/>
              </w:rPr>
              <w:t>:</w:t>
            </w:r>
            <w:r w:rsidRPr="00DD57E3">
              <w:rPr>
                <w:rFonts w:ascii="Times New Roman" w:hAnsi="Times New Roman" w:cs="Times New Roman"/>
                <w:bCs/>
                <w:iCs/>
                <w:sz w:val="24"/>
                <w:szCs w:val="24"/>
                <w:lang w:val="ro-MD"/>
              </w:rPr>
              <w:t xml:space="preserve"> România</w:t>
            </w:r>
            <w:r w:rsidR="00DB1F7F" w:rsidRPr="00DD57E3">
              <w:rPr>
                <w:rStyle w:val="ac"/>
                <w:rFonts w:ascii="Times New Roman" w:hAnsi="Times New Roman" w:cs="Times New Roman"/>
                <w:bCs/>
                <w:iCs/>
                <w:sz w:val="24"/>
                <w:szCs w:val="24"/>
                <w:lang w:val="ro-MD"/>
              </w:rPr>
              <w:footnoteReference w:id="15"/>
            </w:r>
            <w:r w:rsidRPr="00DD57E3">
              <w:rPr>
                <w:rFonts w:ascii="Times New Roman" w:hAnsi="Times New Roman" w:cs="Times New Roman"/>
                <w:bCs/>
                <w:iCs/>
                <w:sz w:val="24"/>
                <w:szCs w:val="24"/>
                <w:lang w:val="ro-MD"/>
              </w:rPr>
              <w:t xml:space="preserve">, </w:t>
            </w:r>
            <w:r w:rsidR="004E4D4B" w:rsidRPr="00DD57E3">
              <w:rPr>
                <w:rFonts w:ascii="Times New Roman" w:hAnsi="Times New Roman" w:cs="Times New Roman"/>
                <w:bCs/>
                <w:iCs/>
                <w:sz w:val="24"/>
                <w:szCs w:val="24"/>
                <w:lang w:val="ro-MD"/>
              </w:rPr>
              <w:t>Suedia</w:t>
            </w:r>
            <w:r w:rsidR="004E4D4B" w:rsidRPr="00DD57E3">
              <w:rPr>
                <w:rStyle w:val="ac"/>
                <w:rFonts w:ascii="Times New Roman" w:hAnsi="Times New Roman" w:cs="Times New Roman"/>
                <w:bCs/>
                <w:iCs/>
                <w:sz w:val="24"/>
                <w:szCs w:val="24"/>
                <w:lang w:val="ro-MD"/>
              </w:rPr>
              <w:footnoteReference w:id="16"/>
            </w:r>
            <w:r w:rsidR="004E4D4B" w:rsidRPr="00DD57E3">
              <w:rPr>
                <w:rFonts w:ascii="Times New Roman" w:hAnsi="Times New Roman" w:cs="Times New Roman"/>
                <w:bCs/>
                <w:iCs/>
                <w:sz w:val="24"/>
                <w:szCs w:val="24"/>
                <w:lang w:val="ro-MD"/>
              </w:rPr>
              <w:t xml:space="preserve">, </w:t>
            </w:r>
            <w:r w:rsidRPr="00DD57E3">
              <w:rPr>
                <w:rFonts w:ascii="Times New Roman" w:hAnsi="Times New Roman" w:cs="Times New Roman"/>
                <w:bCs/>
                <w:iCs/>
                <w:sz w:val="24"/>
                <w:szCs w:val="24"/>
                <w:lang w:val="ro-MD"/>
              </w:rPr>
              <w:t>Slovacia</w:t>
            </w:r>
            <w:r w:rsidR="00DB1F7F" w:rsidRPr="00DD57E3">
              <w:rPr>
                <w:rStyle w:val="ac"/>
                <w:rFonts w:ascii="Times New Roman" w:hAnsi="Times New Roman" w:cs="Times New Roman"/>
                <w:bCs/>
                <w:iCs/>
                <w:sz w:val="24"/>
                <w:szCs w:val="24"/>
                <w:lang w:val="ro-MD"/>
              </w:rPr>
              <w:footnoteReference w:id="17"/>
            </w:r>
            <w:r w:rsidR="004E4D4B" w:rsidRPr="00DD57E3">
              <w:rPr>
                <w:rFonts w:ascii="Times New Roman" w:hAnsi="Times New Roman" w:cs="Times New Roman"/>
                <w:bCs/>
                <w:iCs/>
                <w:sz w:val="24"/>
                <w:szCs w:val="24"/>
                <w:lang w:val="ro-MD"/>
              </w:rPr>
              <w:t xml:space="preserve">, </w:t>
            </w:r>
            <w:r w:rsidR="00291455" w:rsidRPr="00DD57E3">
              <w:rPr>
                <w:rFonts w:ascii="Times New Roman" w:hAnsi="Times New Roman" w:cs="Times New Roman"/>
                <w:bCs/>
                <w:iCs/>
                <w:sz w:val="24"/>
                <w:szCs w:val="24"/>
                <w:lang w:val="ro-MD"/>
              </w:rPr>
              <w:t>Portugalia</w:t>
            </w:r>
            <w:r w:rsidR="00291455" w:rsidRPr="00DD57E3">
              <w:rPr>
                <w:rStyle w:val="ac"/>
                <w:rFonts w:ascii="Times New Roman" w:hAnsi="Times New Roman" w:cs="Times New Roman"/>
                <w:bCs/>
                <w:iCs/>
                <w:sz w:val="24"/>
                <w:szCs w:val="24"/>
                <w:lang w:val="ro-MD"/>
              </w:rPr>
              <w:footnoteReference w:id="18"/>
            </w:r>
            <w:r w:rsidR="003C0E4E" w:rsidRPr="00DD57E3">
              <w:rPr>
                <w:rFonts w:ascii="Times New Roman" w:hAnsi="Times New Roman" w:cs="Times New Roman"/>
                <w:bCs/>
                <w:iCs/>
                <w:sz w:val="24"/>
                <w:szCs w:val="24"/>
                <w:lang w:val="ro-MD"/>
              </w:rPr>
              <w:t>, Italia</w:t>
            </w:r>
            <w:r w:rsidR="003C0E4E" w:rsidRPr="00DD57E3">
              <w:rPr>
                <w:rStyle w:val="ac"/>
                <w:rFonts w:ascii="Times New Roman" w:hAnsi="Times New Roman" w:cs="Times New Roman"/>
                <w:bCs/>
                <w:iCs/>
                <w:sz w:val="24"/>
                <w:szCs w:val="24"/>
                <w:lang w:val="ro-MD"/>
              </w:rPr>
              <w:footnoteReference w:id="19"/>
            </w:r>
            <w:r w:rsidR="00280DBA" w:rsidRPr="00DD57E3">
              <w:rPr>
                <w:rFonts w:ascii="Times New Roman" w:hAnsi="Times New Roman" w:cs="Times New Roman"/>
                <w:bCs/>
                <w:iCs/>
                <w:sz w:val="24"/>
                <w:szCs w:val="24"/>
                <w:lang w:val="ro-MD"/>
              </w:rPr>
              <w:t>, Finlanda</w:t>
            </w:r>
            <w:r w:rsidR="00280DBA" w:rsidRPr="00DD57E3">
              <w:rPr>
                <w:rStyle w:val="ac"/>
                <w:rFonts w:ascii="Times New Roman" w:hAnsi="Times New Roman" w:cs="Times New Roman"/>
                <w:bCs/>
                <w:iCs/>
                <w:sz w:val="24"/>
                <w:szCs w:val="24"/>
                <w:lang w:val="ro-MD"/>
              </w:rPr>
              <w:footnoteReference w:id="20"/>
            </w:r>
            <w:r w:rsidR="00220BAC" w:rsidRPr="00DD57E3">
              <w:rPr>
                <w:rFonts w:ascii="Times New Roman" w:hAnsi="Times New Roman" w:cs="Times New Roman"/>
                <w:bCs/>
                <w:iCs/>
                <w:sz w:val="24"/>
                <w:szCs w:val="24"/>
                <w:lang w:val="ro-MD"/>
              </w:rPr>
              <w:t>, ș.a.</w:t>
            </w:r>
          </w:p>
          <w:p w14:paraId="58B5463B" w14:textId="02E3DA47" w:rsidR="006312CB" w:rsidRPr="00DD57E3" w:rsidRDefault="00D91B9B">
            <w:pPr>
              <w:spacing w:before="120" w:after="60" w:line="240" w:lineRule="auto"/>
              <w:jc w:val="both"/>
              <w:rPr>
                <w:rFonts w:ascii="Times New Roman" w:hAnsi="Times New Roman" w:cs="Times New Roman"/>
                <w:iCs/>
                <w:sz w:val="24"/>
                <w:szCs w:val="24"/>
                <w:lang w:val="ro-MD"/>
              </w:rPr>
            </w:pPr>
            <w:r w:rsidRPr="00DD57E3">
              <w:rPr>
                <w:rFonts w:ascii="Times New Roman" w:hAnsi="Times New Roman" w:cs="Times New Roman"/>
                <w:iCs/>
                <w:sz w:val="24"/>
                <w:szCs w:val="24"/>
                <w:lang w:val="ro-MD"/>
              </w:rPr>
              <w:t>Important de relevat faptul, că în procesul de transpunere a Directivei respective în cadrul legal na</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ional s-a </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inut cont de relevan</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 xml:space="preserve">a, oportunitatea </w:t>
            </w:r>
            <w:r w:rsidR="00D84F0C" w:rsidRPr="00DD57E3">
              <w:rPr>
                <w:rFonts w:ascii="Times New Roman" w:hAnsi="Times New Roman" w:cs="Times New Roman"/>
                <w:iCs/>
                <w:sz w:val="24"/>
                <w:szCs w:val="24"/>
                <w:lang w:val="ro-MD"/>
              </w:rPr>
              <w:t>ș</w:t>
            </w:r>
            <w:r w:rsidRPr="00DD57E3">
              <w:rPr>
                <w:rFonts w:ascii="Times New Roman" w:hAnsi="Times New Roman" w:cs="Times New Roman"/>
                <w:iCs/>
                <w:sz w:val="24"/>
                <w:szCs w:val="24"/>
                <w:lang w:val="ro-MD"/>
              </w:rPr>
              <w:t>i actualitatea reglementărilor propuse legisla</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iei Republicii Moldova raportate la particularită</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ile na</w:t>
            </w:r>
            <w:r w:rsidR="00D84F0C" w:rsidRPr="00DD57E3">
              <w:rPr>
                <w:rFonts w:ascii="Times New Roman" w:hAnsi="Times New Roman" w:cs="Times New Roman"/>
                <w:iCs/>
                <w:sz w:val="24"/>
                <w:szCs w:val="24"/>
                <w:lang w:val="ro-MD"/>
              </w:rPr>
              <w:t>ț</w:t>
            </w:r>
            <w:r w:rsidRPr="00DD57E3">
              <w:rPr>
                <w:rFonts w:ascii="Times New Roman" w:hAnsi="Times New Roman" w:cs="Times New Roman"/>
                <w:iCs/>
                <w:sz w:val="24"/>
                <w:szCs w:val="24"/>
                <w:lang w:val="ro-MD"/>
              </w:rPr>
              <w:t>ionale.</w:t>
            </w:r>
          </w:p>
        </w:tc>
      </w:tr>
      <w:tr w:rsidR="00D91B9B" w:rsidRPr="00DD57E3" w14:paraId="35AA6A99" w14:textId="77777777" w:rsidTr="033CF18F">
        <w:trPr>
          <w:trHeight w:val="303"/>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747B48" w14:textId="77777777" w:rsidR="00D91B9B" w:rsidRPr="00DD57E3" w:rsidRDefault="00D91B9B" w:rsidP="00D91B9B">
            <w:pPr>
              <w:pStyle w:val="a4"/>
              <w:numPr>
                <w:ilvl w:val="0"/>
                <w:numId w:val="2"/>
              </w:numPr>
              <w:tabs>
                <w:tab w:val="left" w:pos="884"/>
                <w:tab w:val="left" w:pos="1196"/>
              </w:tabs>
              <w:suppressAutoHyphens/>
              <w:spacing w:after="0" w:line="240" w:lineRule="auto"/>
              <w:jc w:val="both"/>
              <w:rPr>
                <w:rFonts w:eastAsiaTheme="minorEastAsia" w:cs="Times New Roman"/>
                <w:b/>
                <w:szCs w:val="24"/>
                <w:lang w:val="ro-MD" w:eastAsia="ar-SA"/>
              </w:rPr>
            </w:pPr>
            <w:bookmarkStart w:id="8" w:name="_Hlk191386219"/>
            <w:r w:rsidRPr="00DD57E3">
              <w:rPr>
                <w:rFonts w:eastAsiaTheme="minorEastAsia" w:cs="Times New Roman"/>
                <w:b/>
                <w:szCs w:val="24"/>
                <w:lang w:val="ro-MD" w:eastAsia="ar-SA"/>
              </w:rPr>
              <w:lastRenderedPageBreak/>
              <w:t>Analiza impactului de reglementare</w:t>
            </w:r>
            <w:bookmarkEnd w:id="8"/>
          </w:p>
        </w:tc>
      </w:tr>
      <w:tr w:rsidR="00D91B9B" w:rsidRPr="00DD57E3" w14:paraId="38CA15B9" w14:textId="77777777" w:rsidTr="033CF18F">
        <w:trPr>
          <w:trHeight w:val="800"/>
        </w:trPr>
        <w:tc>
          <w:tcPr>
            <w:tcW w:w="5000" w:type="pct"/>
            <w:tcBorders>
              <w:top w:val="single" w:sz="4" w:space="0" w:color="auto"/>
              <w:left w:val="single" w:sz="4" w:space="0" w:color="auto"/>
              <w:bottom w:val="single" w:sz="4" w:space="0" w:color="auto"/>
              <w:right w:val="single" w:sz="4" w:space="0" w:color="auto"/>
            </w:tcBorders>
            <w:hideMark/>
          </w:tcPr>
          <w:p w14:paraId="65C84992" w14:textId="305C08DC" w:rsidR="00D91B9B" w:rsidRPr="00DD57E3" w:rsidRDefault="00D91B9B">
            <w:pPr>
              <w:tabs>
                <w:tab w:val="left" w:pos="990"/>
              </w:tabs>
              <w:spacing w:before="60" w:after="120" w:line="240" w:lineRule="auto"/>
              <w:jc w:val="both"/>
              <w:rPr>
                <w:rFonts w:ascii="Times New Roman" w:hAnsi="Times New Roman" w:cs="Times New Roman"/>
                <w:b/>
                <w:i/>
                <w:sz w:val="24"/>
                <w:szCs w:val="24"/>
                <w:lang w:val="ro-MD"/>
              </w:rPr>
            </w:pPr>
            <w:bookmarkStart w:id="9" w:name="_Hlk191386234"/>
            <w:r w:rsidRPr="00DD57E3">
              <w:rPr>
                <w:rFonts w:ascii="Times New Roman" w:hAnsi="Times New Roman" w:cs="Times New Roman"/>
                <w:b/>
                <w:i/>
                <w:sz w:val="24"/>
                <w:szCs w:val="24"/>
                <w:lang w:val="ro-MD"/>
              </w:rPr>
              <w:t>4.1. Impactul asupra sectorului public</w:t>
            </w:r>
          </w:p>
          <w:bookmarkEnd w:id="9"/>
          <w:p w14:paraId="4FBB45A6" w14:textId="3FE6BE27" w:rsidR="00D91B9B" w:rsidRPr="00DD57E3" w:rsidRDefault="00D91B9B">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bCs/>
                <w:iCs/>
                <w:sz w:val="24"/>
                <w:szCs w:val="24"/>
                <w:lang w:val="ro-MD"/>
              </w:rPr>
              <w:t>Achizi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ia de vehicule de transport rutier nepoluante, eficiente din punct de vedere energetic, în sprijinul unei mobilită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 cu emisii scăzute, oferă autorită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ilor publice oportunitatea de a demonstra o atitudine responsabilă fa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ă de cetă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eni, prin asigurarea unui mediu de via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ă mai sănătos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prin cre</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terea calită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vie</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w:t>
            </w:r>
            <w:r w:rsidR="00CD1628" w:rsidRPr="00DD57E3">
              <w:rPr>
                <w:rFonts w:ascii="Times New Roman" w:hAnsi="Times New Roman" w:cs="Times New Roman"/>
                <w:bCs/>
                <w:iCs/>
                <w:sz w:val="24"/>
                <w:szCs w:val="24"/>
                <w:lang w:val="ro-MD"/>
              </w:rPr>
              <w:t xml:space="preserve"> prin</w:t>
            </w:r>
            <w:r w:rsidRPr="00DD57E3">
              <w:rPr>
                <w:rFonts w:ascii="Times New Roman" w:hAnsi="Times New Roman" w:cs="Times New Roman"/>
                <w:bCs/>
                <w:iCs/>
                <w:sz w:val="24"/>
                <w:szCs w:val="24"/>
                <w:lang w:val="ro-MD"/>
              </w:rPr>
              <w:t xml:space="preserve"> îmbunătă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irea calită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aerului în special în zonele urbane.</w:t>
            </w:r>
          </w:p>
          <w:p w14:paraId="5D74AEE1" w14:textId="0DD8B007" w:rsidR="00755EED" w:rsidRPr="00DD57E3" w:rsidRDefault="00755EED">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Transpunerea Directivei 2009/33/CE în legisla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 na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ională va avea un impact semnificativ asupra sectorului public, influen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ând politicile de achizi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publice,</w:t>
            </w:r>
            <w:r w:rsidR="00C94959" w:rsidRPr="00DD57E3">
              <w:rPr>
                <w:rFonts w:ascii="Times New Roman" w:hAnsi="Times New Roman" w:cs="Times New Roman"/>
                <w:sz w:val="24"/>
                <w:szCs w:val="24"/>
                <w:lang w:val="ro-MD"/>
              </w:rPr>
              <w:t xml:space="preserve"> planificarea financiară </w:t>
            </w:r>
            <w:r w:rsidR="00D84F0C" w:rsidRPr="00DD57E3">
              <w:rPr>
                <w:rFonts w:ascii="Times New Roman" w:hAnsi="Times New Roman" w:cs="Times New Roman"/>
                <w:sz w:val="24"/>
                <w:szCs w:val="24"/>
                <w:lang w:val="ro-MD"/>
              </w:rPr>
              <w:t>ș</w:t>
            </w:r>
            <w:r w:rsidR="00C94959" w:rsidRPr="00DD57E3">
              <w:rPr>
                <w:rFonts w:ascii="Times New Roman" w:hAnsi="Times New Roman" w:cs="Times New Roman"/>
                <w:sz w:val="24"/>
                <w:szCs w:val="24"/>
                <w:lang w:val="ro-MD"/>
              </w:rPr>
              <w:t>i</w:t>
            </w:r>
            <w:r w:rsidRPr="00DD57E3">
              <w:rPr>
                <w:rFonts w:ascii="Times New Roman" w:hAnsi="Times New Roman" w:cs="Times New Roman"/>
                <w:sz w:val="24"/>
                <w:szCs w:val="24"/>
                <w:lang w:val="ro-MD"/>
              </w:rPr>
              <w:t xml:space="preserve"> practicile </w:t>
            </w:r>
            <w:r w:rsidR="00C94959" w:rsidRPr="00DD57E3">
              <w:rPr>
                <w:rFonts w:ascii="Times New Roman" w:hAnsi="Times New Roman" w:cs="Times New Roman"/>
                <w:sz w:val="24"/>
                <w:szCs w:val="24"/>
                <w:lang w:val="ro-MD"/>
              </w:rPr>
              <w:t>de gestionare a sectorului de transport rutier, în special transportul public de persoane</w:t>
            </w:r>
            <w:r w:rsidRPr="00DD57E3">
              <w:rPr>
                <w:rFonts w:ascii="Times New Roman" w:hAnsi="Times New Roman" w:cs="Times New Roman"/>
                <w:sz w:val="24"/>
                <w:szCs w:val="24"/>
                <w:lang w:val="ro-MD"/>
              </w:rPr>
              <w:t>.</w:t>
            </w:r>
          </w:p>
          <w:p w14:paraId="536CA275" w14:textId="249E2A78" w:rsidR="005506ED" w:rsidRPr="00DD57E3" w:rsidRDefault="005506ED" w:rsidP="005506ED">
            <w:pPr>
              <w:tabs>
                <w:tab w:val="left" w:pos="990"/>
              </w:tabs>
              <w:spacing w:after="120" w:line="240" w:lineRule="auto"/>
              <w:jc w:val="both"/>
              <w:rPr>
                <w:rFonts w:ascii="Times New Roman" w:hAnsi="Times New Roman" w:cs="Times New Roman"/>
                <w:i/>
                <w:iCs/>
                <w:sz w:val="24"/>
                <w:szCs w:val="24"/>
                <w:u w:val="single"/>
                <w:lang w:val="ro-MD"/>
              </w:rPr>
            </w:pPr>
            <w:r w:rsidRPr="00DD57E3">
              <w:rPr>
                <w:rFonts w:ascii="Times New Roman" w:hAnsi="Times New Roman" w:cs="Times New Roman"/>
                <w:i/>
                <w:iCs/>
                <w:sz w:val="24"/>
                <w:szCs w:val="24"/>
                <w:u w:val="single"/>
                <w:lang w:val="ro-MD"/>
              </w:rPr>
              <w:t>Achizi</w:t>
            </w:r>
            <w:r w:rsidR="00D84F0C" w:rsidRPr="00DD57E3">
              <w:rPr>
                <w:rFonts w:ascii="Times New Roman" w:hAnsi="Times New Roman" w:cs="Times New Roman"/>
                <w:i/>
                <w:iCs/>
                <w:sz w:val="24"/>
                <w:szCs w:val="24"/>
                <w:u w:val="single"/>
                <w:lang w:val="ro-MD"/>
              </w:rPr>
              <w:t>ț</w:t>
            </w:r>
            <w:r w:rsidRPr="00DD57E3">
              <w:rPr>
                <w:rFonts w:ascii="Times New Roman" w:hAnsi="Times New Roman" w:cs="Times New Roman"/>
                <w:i/>
                <w:iCs/>
                <w:sz w:val="24"/>
                <w:szCs w:val="24"/>
                <w:u w:val="single"/>
                <w:lang w:val="ro-MD"/>
              </w:rPr>
              <w:t>ii publice</w:t>
            </w:r>
          </w:p>
          <w:p w14:paraId="09A14377" w14:textId="28D9D5A2" w:rsidR="005506ED" w:rsidRPr="00DD57E3" w:rsidRDefault="005506ED" w:rsidP="005506ED">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Autorită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ile publice vor trebui să adapteze politicile de achizi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ie pentru a include costul ciclului de via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ă al vehiculelor de transport rutier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pentru a lua în considerare eficien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a lor energetică, emisiile de CO₂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emisiile poluante. Aceasta va implica:</w:t>
            </w:r>
          </w:p>
          <w:p w14:paraId="0AA5E15C" w14:textId="47E734EA" w:rsidR="005506ED" w:rsidRPr="00DD57E3" w:rsidRDefault="005506ED" w:rsidP="001900FC">
            <w:pPr>
              <w:pStyle w:val="a4"/>
              <w:numPr>
                <w:ilvl w:val="0"/>
                <w:numId w:val="11"/>
              </w:numPr>
              <w:tabs>
                <w:tab w:val="left" w:pos="990"/>
              </w:tabs>
              <w:spacing w:after="120" w:line="240" w:lineRule="auto"/>
              <w:jc w:val="both"/>
              <w:rPr>
                <w:rFonts w:cs="Times New Roman"/>
                <w:szCs w:val="24"/>
                <w:lang w:val="ro-MD"/>
              </w:rPr>
            </w:pPr>
            <w:r w:rsidRPr="00DD57E3">
              <w:rPr>
                <w:rFonts w:cs="Times New Roman"/>
                <w:szCs w:val="24"/>
                <w:lang w:val="ro-MD"/>
              </w:rPr>
              <w:t>Revizuirea documenta</w:t>
            </w:r>
            <w:r w:rsidR="00D84F0C" w:rsidRPr="00DD57E3">
              <w:rPr>
                <w:rFonts w:cs="Times New Roman"/>
                <w:szCs w:val="24"/>
                <w:lang w:val="ro-MD"/>
              </w:rPr>
              <w:t>ț</w:t>
            </w:r>
            <w:r w:rsidRPr="00DD57E3">
              <w:rPr>
                <w:rFonts w:cs="Times New Roman"/>
                <w:szCs w:val="24"/>
                <w:lang w:val="ro-MD"/>
              </w:rPr>
              <w:t xml:space="preserve">iei de atribuire pentru a reflecta criteriile de mediu </w:t>
            </w:r>
            <w:r w:rsidR="00D84F0C" w:rsidRPr="00DD57E3">
              <w:rPr>
                <w:rFonts w:cs="Times New Roman"/>
                <w:szCs w:val="24"/>
                <w:lang w:val="ro-MD"/>
              </w:rPr>
              <w:t>ș</w:t>
            </w:r>
            <w:r w:rsidRPr="00DD57E3">
              <w:rPr>
                <w:rFonts w:cs="Times New Roman"/>
                <w:szCs w:val="24"/>
                <w:lang w:val="ro-MD"/>
              </w:rPr>
              <w:t>i energetice.</w:t>
            </w:r>
          </w:p>
          <w:p w14:paraId="18C33195" w14:textId="0D3CA9FA" w:rsidR="005506ED" w:rsidRPr="00DD57E3" w:rsidRDefault="005506ED" w:rsidP="001900FC">
            <w:pPr>
              <w:pStyle w:val="a4"/>
              <w:numPr>
                <w:ilvl w:val="0"/>
                <w:numId w:val="11"/>
              </w:numPr>
              <w:tabs>
                <w:tab w:val="left" w:pos="990"/>
              </w:tabs>
              <w:spacing w:after="120" w:line="240" w:lineRule="auto"/>
              <w:jc w:val="both"/>
              <w:rPr>
                <w:rFonts w:cs="Times New Roman"/>
                <w:szCs w:val="24"/>
                <w:lang w:val="ro-MD"/>
              </w:rPr>
            </w:pPr>
            <w:r w:rsidRPr="00DD57E3">
              <w:rPr>
                <w:rFonts w:cs="Times New Roman"/>
                <w:szCs w:val="24"/>
                <w:lang w:val="ro-MD"/>
              </w:rPr>
              <w:t>Formarea personalului din domeniul achizi</w:t>
            </w:r>
            <w:r w:rsidR="00D84F0C" w:rsidRPr="00DD57E3">
              <w:rPr>
                <w:rFonts w:cs="Times New Roman"/>
                <w:szCs w:val="24"/>
                <w:lang w:val="ro-MD"/>
              </w:rPr>
              <w:t>ț</w:t>
            </w:r>
            <w:r w:rsidRPr="00DD57E3">
              <w:rPr>
                <w:rFonts w:cs="Times New Roman"/>
                <w:szCs w:val="24"/>
                <w:lang w:val="ro-MD"/>
              </w:rPr>
              <w:t>iilor publice pentru aplicarea noilor metodologii de evaluare.</w:t>
            </w:r>
          </w:p>
          <w:p w14:paraId="7BC789CA" w14:textId="66A6B2CC" w:rsidR="005506ED" w:rsidRPr="00DD57E3" w:rsidRDefault="00993D9E" w:rsidP="00993D9E">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Transpunerea Directivei spore</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te în mod semnificativ rolul planificării </w:t>
            </w:r>
            <w:r w:rsidR="00CD1628" w:rsidRPr="00DD57E3">
              <w:rPr>
                <w:rFonts w:ascii="Times New Roman" w:hAnsi="Times New Roman" w:cs="Times New Roman"/>
                <w:sz w:val="24"/>
                <w:szCs w:val="24"/>
                <w:lang w:val="ro-MD"/>
              </w:rPr>
              <w:t xml:space="preserve">sectorului </w:t>
            </w:r>
            <w:r w:rsidRPr="00DD57E3">
              <w:rPr>
                <w:rFonts w:ascii="Times New Roman" w:hAnsi="Times New Roman" w:cs="Times New Roman"/>
                <w:sz w:val="24"/>
                <w:szCs w:val="24"/>
                <w:lang w:val="ro-MD"/>
              </w:rPr>
              <w:t>transporturilor în procesele de achizi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publice. Această schimbare impune autorită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ilor să meargă dincolo de practicile de bază în materie de achizi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publice, deoarece licita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iile trebuie acum să includă specifica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 privind </w:t>
            </w:r>
            <w:r w:rsidR="00694302" w:rsidRPr="00DD57E3">
              <w:rPr>
                <w:rFonts w:ascii="Times New Roman" w:hAnsi="Times New Roman" w:cs="Times New Roman"/>
                <w:sz w:val="24"/>
                <w:szCs w:val="24"/>
                <w:lang w:val="ro-MD"/>
              </w:rPr>
              <w:t>flota de transport rutier</w:t>
            </w:r>
            <w:r w:rsidRPr="00DD57E3">
              <w:rPr>
                <w:rFonts w:ascii="Times New Roman" w:hAnsi="Times New Roman" w:cs="Times New Roman"/>
                <w:sz w:val="24"/>
                <w:szCs w:val="24"/>
                <w:lang w:val="ro-MD"/>
              </w:rPr>
              <w:t xml:space="preserve"> care să se alinieze la standardele de emisii</w:t>
            </w:r>
            <w:r w:rsidR="00794BEC" w:rsidRPr="00DD57E3">
              <w:rPr>
                <w:rFonts w:ascii="Times New Roman" w:hAnsi="Times New Roman" w:cs="Times New Roman"/>
                <w:sz w:val="24"/>
                <w:szCs w:val="24"/>
                <w:lang w:val="ro-MD"/>
              </w:rPr>
              <w:t xml:space="preserve"> pentru vehiculelor de transport rutier nepoluante </w:t>
            </w:r>
            <w:r w:rsidR="00D84F0C" w:rsidRPr="00DD57E3">
              <w:rPr>
                <w:rFonts w:ascii="Times New Roman" w:hAnsi="Times New Roman" w:cs="Times New Roman"/>
                <w:sz w:val="24"/>
                <w:szCs w:val="24"/>
                <w:lang w:val="ro-MD"/>
              </w:rPr>
              <w:t>ș</w:t>
            </w:r>
            <w:r w:rsidR="00794BEC" w:rsidRPr="00DD57E3">
              <w:rPr>
                <w:rFonts w:ascii="Times New Roman" w:hAnsi="Times New Roman" w:cs="Times New Roman"/>
                <w:sz w:val="24"/>
                <w:szCs w:val="24"/>
                <w:lang w:val="ro-MD"/>
              </w:rPr>
              <w:t>i eficiente din punct de vedere energetic</w:t>
            </w:r>
            <w:r w:rsidRPr="00DD57E3">
              <w:rPr>
                <w:rFonts w:ascii="Times New Roman" w:hAnsi="Times New Roman" w:cs="Times New Roman"/>
                <w:sz w:val="24"/>
                <w:szCs w:val="24"/>
                <w:lang w:val="ro-MD"/>
              </w:rPr>
              <w:t>. O planificare eficientă devine esen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ială pentru a defini cerin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e precise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pentru a garanta că vehiculele achizi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ionate îndeplinesc atât nevoile opera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ionale, cât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obiectivele de mediu.</w:t>
            </w:r>
            <w:r w:rsidR="00694302" w:rsidRPr="00DD57E3">
              <w:rPr>
                <w:rFonts w:ascii="Times New Roman" w:hAnsi="Times New Roman" w:cs="Times New Roman"/>
                <w:sz w:val="24"/>
                <w:szCs w:val="24"/>
                <w:lang w:val="ro-MD"/>
              </w:rPr>
              <w:t xml:space="preserve"> </w:t>
            </w:r>
            <w:r w:rsidRPr="00DD57E3">
              <w:rPr>
                <w:rFonts w:ascii="Times New Roman" w:hAnsi="Times New Roman" w:cs="Times New Roman"/>
                <w:sz w:val="24"/>
                <w:szCs w:val="24"/>
                <w:lang w:val="ro-MD"/>
              </w:rPr>
              <w:t>Fără planificare, complexitatea introdusă de noua legisla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ie ar putea duce la întârzieri în </w:t>
            </w:r>
            <w:r w:rsidR="00694302" w:rsidRPr="00DD57E3">
              <w:rPr>
                <w:rFonts w:ascii="Times New Roman" w:hAnsi="Times New Roman" w:cs="Times New Roman"/>
                <w:sz w:val="24"/>
                <w:szCs w:val="24"/>
                <w:lang w:val="ro-MD"/>
              </w:rPr>
              <w:t>negocierea</w:t>
            </w:r>
            <w:r w:rsidRPr="00DD57E3">
              <w:rPr>
                <w:rFonts w:ascii="Times New Roman" w:hAnsi="Times New Roman" w:cs="Times New Roman"/>
                <w:sz w:val="24"/>
                <w:szCs w:val="24"/>
                <w:lang w:val="ro-MD"/>
              </w:rPr>
              <w:t xml:space="preserve">, aprobarea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punerea în aplicare a contractelor, în special </w:t>
            </w:r>
            <w:r w:rsidR="00694302" w:rsidRPr="00DD57E3">
              <w:rPr>
                <w:rFonts w:ascii="Times New Roman" w:hAnsi="Times New Roman" w:cs="Times New Roman"/>
                <w:sz w:val="24"/>
                <w:szCs w:val="24"/>
                <w:lang w:val="ro-MD"/>
              </w:rPr>
              <w:t>pentru autorită</w:t>
            </w:r>
            <w:r w:rsidR="00D84F0C" w:rsidRPr="00DD57E3">
              <w:rPr>
                <w:rFonts w:ascii="Times New Roman" w:hAnsi="Times New Roman" w:cs="Times New Roman"/>
                <w:sz w:val="24"/>
                <w:szCs w:val="24"/>
                <w:lang w:val="ro-MD"/>
              </w:rPr>
              <w:t>ț</w:t>
            </w:r>
            <w:r w:rsidR="00694302" w:rsidRPr="00DD57E3">
              <w:rPr>
                <w:rFonts w:ascii="Times New Roman" w:hAnsi="Times New Roman" w:cs="Times New Roman"/>
                <w:sz w:val="24"/>
                <w:szCs w:val="24"/>
                <w:lang w:val="ro-MD"/>
              </w:rPr>
              <w:t>ile publice</w:t>
            </w:r>
            <w:r w:rsidRPr="00DD57E3">
              <w:rPr>
                <w:rFonts w:ascii="Times New Roman" w:hAnsi="Times New Roman" w:cs="Times New Roman"/>
                <w:sz w:val="24"/>
                <w:szCs w:val="24"/>
                <w:lang w:val="ro-MD"/>
              </w:rPr>
              <w:t xml:space="preserve"> cu capacitate administrativă limitată.</w:t>
            </w:r>
          </w:p>
          <w:p w14:paraId="051B17E3" w14:textId="5B0621E5" w:rsidR="00755EED" w:rsidRPr="00DD57E3" w:rsidRDefault="005506ED" w:rsidP="005506ED">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lastRenderedPageBreak/>
              <w:t xml:space="preserve">Conformarea cu </w:t>
            </w:r>
            <w:r w:rsidR="001C6148" w:rsidRPr="00DD57E3">
              <w:rPr>
                <w:rFonts w:ascii="Times New Roman" w:hAnsi="Times New Roman" w:cs="Times New Roman"/>
                <w:sz w:val="24"/>
                <w:szCs w:val="24"/>
                <w:lang w:val="ro-MD"/>
              </w:rPr>
              <w:t xml:space="preserve">Directiva </w:t>
            </w:r>
            <w:r w:rsidRPr="00DD57E3">
              <w:rPr>
                <w:rFonts w:ascii="Times New Roman" w:hAnsi="Times New Roman" w:cs="Times New Roman"/>
                <w:sz w:val="24"/>
                <w:szCs w:val="24"/>
                <w:lang w:val="ro-MD"/>
              </w:rPr>
              <w:t xml:space="preserve">impune </w:t>
            </w:r>
            <w:r w:rsidR="00694302" w:rsidRPr="00DD57E3">
              <w:rPr>
                <w:rFonts w:ascii="Times New Roman" w:hAnsi="Times New Roman" w:cs="Times New Roman"/>
                <w:sz w:val="24"/>
                <w:szCs w:val="24"/>
                <w:lang w:val="ro-MD"/>
              </w:rPr>
              <w:t>autorită</w:t>
            </w:r>
            <w:r w:rsidR="00D84F0C" w:rsidRPr="00DD57E3">
              <w:rPr>
                <w:rFonts w:ascii="Times New Roman" w:hAnsi="Times New Roman" w:cs="Times New Roman"/>
                <w:sz w:val="24"/>
                <w:szCs w:val="24"/>
                <w:lang w:val="ro-MD"/>
              </w:rPr>
              <w:t>ț</w:t>
            </w:r>
            <w:r w:rsidR="00694302" w:rsidRPr="00DD57E3">
              <w:rPr>
                <w:rFonts w:ascii="Times New Roman" w:hAnsi="Times New Roman" w:cs="Times New Roman"/>
                <w:sz w:val="24"/>
                <w:szCs w:val="24"/>
                <w:lang w:val="ro-MD"/>
              </w:rPr>
              <w:t xml:space="preserve">ilor </w:t>
            </w:r>
            <w:r w:rsidRPr="00DD57E3">
              <w:rPr>
                <w:rFonts w:ascii="Times New Roman" w:hAnsi="Times New Roman" w:cs="Times New Roman"/>
                <w:sz w:val="24"/>
                <w:szCs w:val="24"/>
                <w:lang w:val="ro-MD"/>
              </w:rPr>
              <w:t xml:space="preserve">publice să dezvolte expertiză tehnică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capacitate administrativă pentru a</w:t>
            </w:r>
            <w:r w:rsidR="00694302" w:rsidRPr="00DD57E3">
              <w:rPr>
                <w:rFonts w:ascii="Times New Roman" w:hAnsi="Times New Roman" w:cs="Times New Roman"/>
                <w:sz w:val="24"/>
                <w:szCs w:val="24"/>
                <w:lang w:val="ro-MD"/>
              </w:rPr>
              <w:t xml:space="preserve"> planifica</w:t>
            </w:r>
            <w:r w:rsidR="004313D5" w:rsidRPr="00DD57E3">
              <w:rPr>
                <w:rFonts w:ascii="Times New Roman" w:hAnsi="Times New Roman" w:cs="Times New Roman"/>
                <w:sz w:val="24"/>
                <w:szCs w:val="24"/>
                <w:lang w:val="ro-MD"/>
              </w:rPr>
              <w:t xml:space="preserve"> procesele legate de</w:t>
            </w:r>
            <w:r w:rsidR="00694302" w:rsidRPr="00DD57E3">
              <w:rPr>
                <w:rFonts w:ascii="Times New Roman" w:hAnsi="Times New Roman" w:cs="Times New Roman"/>
                <w:sz w:val="24"/>
                <w:szCs w:val="24"/>
                <w:lang w:val="ro-MD"/>
              </w:rPr>
              <w:t xml:space="preserve"> logistica opera</w:t>
            </w:r>
            <w:r w:rsidR="00D84F0C" w:rsidRPr="00DD57E3">
              <w:rPr>
                <w:rFonts w:ascii="Times New Roman" w:hAnsi="Times New Roman" w:cs="Times New Roman"/>
                <w:sz w:val="24"/>
                <w:szCs w:val="24"/>
                <w:lang w:val="ro-MD"/>
              </w:rPr>
              <w:t>ț</w:t>
            </w:r>
            <w:r w:rsidR="00694302" w:rsidRPr="00DD57E3">
              <w:rPr>
                <w:rFonts w:ascii="Times New Roman" w:hAnsi="Times New Roman" w:cs="Times New Roman"/>
                <w:sz w:val="24"/>
                <w:szCs w:val="24"/>
                <w:lang w:val="ro-MD"/>
              </w:rPr>
              <w:t xml:space="preserve">ională </w:t>
            </w:r>
            <w:r w:rsidR="00D84F0C" w:rsidRPr="00DD57E3">
              <w:rPr>
                <w:rFonts w:ascii="Times New Roman" w:hAnsi="Times New Roman" w:cs="Times New Roman"/>
                <w:sz w:val="24"/>
                <w:szCs w:val="24"/>
                <w:lang w:val="ro-MD"/>
              </w:rPr>
              <w:t>ș</w:t>
            </w:r>
            <w:r w:rsidR="00694302" w:rsidRPr="00DD57E3">
              <w:rPr>
                <w:rFonts w:ascii="Times New Roman" w:hAnsi="Times New Roman" w:cs="Times New Roman"/>
                <w:sz w:val="24"/>
                <w:szCs w:val="24"/>
                <w:lang w:val="ro-MD"/>
              </w:rPr>
              <w:t>i</w:t>
            </w:r>
            <w:r w:rsidR="004313D5" w:rsidRPr="00DD57E3">
              <w:rPr>
                <w:rFonts w:ascii="Times New Roman" w:hAnsi="Times New Roman" w:cs="Times New Roman"/>
                <w:sz w:val="24"/>
                <w:szCs w:val="24"/>
                <w:lang w:val="ro-MD"/>
              </w:rPr>
              <w:t xml:space="preserve"> necesită</w:t>
            </w:r>
            <w:r w:rsidR="00D84F0C" w:rsidRPr="00DD57E3">
              <w:rPr>
                <w:rFonts w:ascii="Times New Roman" w:hAnsi="Times New Roman" w:cs="Times New Roman"/>
                <w:sz w:val="24"/>
                <w:szCs w:val="24"/>
                <w:lang w:val="ro-MD"/>
              </w:rPr>
              <w:t>ț</w:t>
            </w:r>
            <w:r w:rsidR="004313D5" w:rsidRPr="00DD57E3">
              <w:rPr>
                <w:rFonts w:ascii="Times New Roman" w:hAnsi="Times New Roman" w:cs="Times New Roman"/>
                <w:sz w:val="24"/>
                <w:szCs w:val="24"/>
                <w:lang w:val="ro-MD"/>
              </w:rPr>
              <w:t>ile de</w:t>
            </w:r>
            <w:r w:rsidRPr="00DD57E3">
              <w:rPr>
                <w:rFonts w:ascii="Times New Roman" w:hAnsi="Times New Roman" w:cs="Times New Roman"/>
                <w:sz w:val="24"/>
                <w:szCs w:val="24"/>
                <w:lang w:val="ro-MD"/>
              </w:rPr>
              <w:t xml:space="preserve"> </w:t>
            </w:r>
            <w:r w:rsidR="004313D5" w:rsidRPr="00DD57E3">
              <w:rPr>
                <w:rFonts w:ascii="Times New Roman" w:hAnsi="Times New Roman" w:cs="Times New Roman"/>
                <w:sz w:val="24"/>
                <w:szCs w:val="24"/>
                <w:lang w:val="ro-MD"/>
              </w:rPr>
              <w:t>transporturi</w:t>
            </w:r>
            <w:r w:rsidRPr="00DD57E3">
              <w:rPr>
                <w:rFonts w:ascii="Times New Roman" w:hAnsi="Times New Roman" w:cs="Times New Roman"/>
                <w:sz w:val="24"/>
                <w:szCs w:val="24"/>
                <w:lang w:val="ro-MD"/>
              </w:rPr>
              <w:t>.</w:t>
            </w:r>
          </w:p>
          <w:p w14:paraId="4FF35CD5" w14:textId="1193BD49" w:rsidR="00397D42" w:rsidRPr="00DD57E3" w:rsidRDefault="00397D42" w:rsidP="00397D42">
            <w:pPr>
              <w:tabs>
                <w:tab w:val="left" w:pos="990"/>
              </w:tabs>
              <w:spacing w:after="120" w:line="240" w:lineRule="auto"/>
              <w:jc w:val="both"/>
              <w:rPr>
                <w:rFonts w:ascii="Times New Roman" w:hAnsi="Times New Roman" w:cs="Times New Roman"/>
                <w:i/>
                <w:iCs/>
                <w:sz w:val="24"/>
                <w:szCs w:val="24"/>
                <w:u w:val="single"/>
                <w:lang w:val="ro-MD"/>
              </w:rPr>
            </w:pPr>
            <w:r w:rsidRPr="00DD57E3">
              <w:rPr>
                <w:rFonts w:ascii="Times New Roman" w:hAnsi="Times New Roman" w:cs="Times New Roman"/>
                <w:i/>
                <w:iCs/>
                <w:sz w:val="24"/>
                <w:szCs w:val="24"/>
                <w:u w:val="single"/>
                <w:lang w:val="ro-MD"/>
              </w:rPr>
              <w:t>Planificarea financiară</w:t>
            </w:r>
          </w:p>
          <w:p w14:paraId="146F079B" w14:textId="7B522564" w:rsidR="00F12DE6" w:rsidRPr="00DD57E3" w:rsidRDefault="00F12DE6" w:rsidP="00F12DE6">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Autorită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ile publice vor trebui să suporte costuri mai mari din cauza necesită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de a contracta operatori cu flote conforme sau de a sprijini modernizarea flotelor existente pentru a respecta noile standarde. Operatorii care nu dispun de vehicule cu emisii reduse vor trebui să î</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modernizeze flotele, iar aceste costuri se vor reflecta în mod inevitabil în ofertele lor pentru contractele de servicii publice.</w:t>
            </w:r>
          </w:p>
          <w:p w14:paraId="560770EE" w14:textId="49AB9918" w:rsidR="00794BEC" w:rsidRPr="00DD57E3" w:rsidRDefault="00F12DE6" w:rsidP="00F12DE6">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În consecin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ă, contractele de servicii publice vor înregistra cre</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teri de pre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uri, pe măsură ce operatorii vor include în propunerile lor povara financiară a modernizării flotelor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 respectării normelor. Aceste ajustări pot crea provocări pentru autorită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ile publice cu resurse financiare limitate, necesitând o planificare bugetară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negocieri atente pentru a asigura conformitatea fără a compromite furnizarea serviciilor.</w:t>
            </w:r>
          </w:p>
          <w:p w14:paraId="07B53A5D" w14:textId="5A967E0A" w:rsidR="00660152" w:rsidRPr="00DD57E3" w:rsidRDefault="00F12DE6" w:rsidP="00F12DE6">
            <w:pPr>
              <w:tabs>
                <w:tab w:val="left" w:pos="990"/>
              </w:tabs>
              <w:spacing w:after="120" w:line="240" w:lineRule="auto"/>
              <w:jc w:val="both"/>
              <w:rPr>
                <w:rFonts w:ascii="Times New Roman" w:hAnsi="Times New Roman" w:cs="Times New Roman"/>
                <w:i/>
                <w:iCs/>
                <w:sz w:val="24"/>
                <w:szCs w:val="24"/>
                <w:u w:val="single"/>
                <w:lang w:val="ro-MD"/>
              </w:rPr>
            </w:pPr>
            <w:r w:rsidRPr="00DD57E3">
              <w:rPr>
                <w:rFonts w:ascii="Times New Roman" w:hAnsi="Times New Roman" w:cs="Times New Roman"/>
                <w:sz w:val="24"/>
                <w:szCs w:val="24"/>
                <w:lang w:val="ro-MD"/>
              </w:rPr>
              <w:t>Cu toate acestea, în ciuda costurilor ini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iale mai ridicate, vehiculele nepoluante generează adesea economii poten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iale în timp. Datorită eficien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ei energetice mai ridicate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 nevoilor de între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inere mai reduse, cheltuielile opera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ionale pentru aceste vehicule tind să fie semnificativ mai mici. Pe termen lung, aceste economii pot ajuta la compensarea investi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iei ini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iale, făcând tranzi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 către flote mai ecologice viabilă din punct de vedere financiar în viitor.</w:t>
            </w:r>
          </w:p>
          <w:p w14:paraId="45F3200C" w14:textId="18336BA4" w:rsidR="00F12DE6" w:rsidRPr="00DD57E3" w:rsidRDefault="00F12DE6" w:rsidP="00F12DE6">
            <w:pPr>
              <w:tabs>
                <w:tab w:val="left" w:pos="990"/>
              </w:tabs>
              <w:spacing w:after="120" w:line="240" w:lineRule="auto"/>
              <w:jc w:val="both"/>
              <w:rPr>
                <w:rFonts w:ascii="Times New Roman" w:hAnsi="Times New Roman" w:cs="Times New Roman"/>
                <w:i/>
                <w:iCs/>
                <w:sz w:val="24"/>
                <w:szCs w:val="24"/>
                <w:u w:val="single"/>
                <w:lang w:val="ro-MD"/>
              </w:rPr>
            </w:pPr>
            <w:r w:rsidRPr="00DD57E3">
              <w:rPr>
                <w:rFonts w:ascii="Times New Roman" w:hAnsi="Times New Roman" w:cs="Times New Roman"/>
                <w:i/>
                <w:iCs/>
                <w:sz w:val="24"/>
                <w:szCs w:val="24"/>
                <w:u w:val="single"/>
                <w:lang w:val="ro-MD"/>
              </w:rPr>
              <w:t>Gestionarea transporturilor rutiere</w:t>
            </w:r>
          </w:p>
          <w:p w14:paraId="46A3900C" w14:textId="0C107178" w:rsidR="006F4311" w:rsidRPr="00DD57E3" w:rsidRDefault="006F4311" w:rsidP="00C335C3">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Autorită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ile publice care gestionează flote de transport sau </w:t>
            </w:r>
            <w:r w:rsidR="00A2416D" w:rsidRPr="00DD57E3">
              <w:rPr>
                <w:rFonts w:ascii="Times New Roman" w:hAnsi="Times New Roman" w:cs="Times New Roman"/>
                <w:sz w:val="24"/>
                <w:szCs w:val="24"/>
                <w:lang w:val="ro-MD"/>
              </w:rPr>
              <w:t>contactează</w:t>
            </w:r>
            <w:r w:rsidRPr="00DD57E3">
              <w:rPr>
                <w:rFonts w:ascii="Times New Roman" w:hAnsi="Times New Roman" w:cs="Times New Roman"/>
                <w:sz w:val="24"/>
                <w:szCs w:val="24"/>
                <w:lang w:val="ro-MD"/>
              </w:rPr>
              <w:t xml:space="preserve"> serviciile de transport rutier se vor confrunta cu sarcina crucială de a elimina treptat vehiculele mai vechi, neconforme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de a le înlocui cu alternative mai curate, cu emisii reduse, pentru a respecta standardele stabilite de </w:t>
            </w:r>
            <w:r w:rsidR="00FB5E9C" w:rsidRPr="00DD57E3">
              <w:rPr>
                <w:rFonts w:ascii="Times New Roman" w:hAnsi="Times New Roman" w:cs="Times New Roman"/>
                <w:sz w:val="24"/>
                <w:szCs w:val="24"/>
                <w:lang w:val="ro-MD"/>
              </w:rPr>
              <w:t>Directivă</w:t>
            </w:r>
            <w:r w:rsidRPr="00DD57E3">
              <w:rPr>
                <w:rFonts w:ascii="Times New Roman" w:hAnsi="Times New Roman" w:cs="Times New Roman"/>
                <w:sz w:val="24"/>
                <w:szCs w:val="24"/>
                <w:lang w:val="ro-MD"/>
              </w:rPr>
              <w:t>. Această tranzi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ie va necesita o planificare amănun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ită pentru a se asigura că vehiculele sunt înlocuite într-un mod fezabil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în timp util, men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inând în acela</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timp serviciile de transport neîntrerupte. </w:t>
            </w:r>
          </w:p>
          <w:p w14:paraId="4439CF07" w14:textId="0EE4265C" w:rsidR="006F4311" w:rsidRPr="00DD57E3" w:rsidRDefault="006F4311" w:rsidP="006F4311">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Tranzi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 către vehicule mai ecologice va necesita investi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 semnificative în infrastructura </w:t>
            </w:r>
            <w:r w:rsidR="00B846DD" w:rsidRPr="00DD57E3">
              <w:rPr>
                <w:rFonts w:ascii="Times New Roman" w:hAnsi="Times New Roman" w:cs="Times New Roman"/>
                <w:sz w:val="24"/>
                <w:szCs w:val="24"/>
                <w:lang w:val="ro-MD"/>
              </w:rPr>
              <w:t>necesară</w:t>
            </w:r>
            <w:r w:rsidRPr="00DD57E3">
              <w:rPr>
                <w:rFonts w:ascii="Times New Roman" w:hAnsi="Times New Roman" w:cs="Times New Roman"/>
                <w:sz w:val="24"/>
                <w:szCs w:val="24"/>
                <w:lang w:val="ro-MD"/>
              </w:rPr>
              <w:t xml:space="preserve"> pentru a asigura func</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ionarea eficientă a acestor noi flote. Pentru vehiculele electrice (VE), autorită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ile publice vor trebui să </w:t>
            </w:r>
            <w:r w:rsidR="00B846DD" w:rsidRPr="00DD57E3">
              <w:rPr>
                <w:rFonts w:ascii="Times New Roman" w:hAnsi="Times New Roman" w:cs="Times New Roman"/>
                <w:sz w:val="24"/>
                <w:szCs w:val="24"/>
                <w:lang w:val="ro-MD"/>
              </w:rPr>
              <w:t>asigure</w:t>
            </w:r>
            <w:r w:rsidRPr="00DD57E3">
              <w:rPr>
                <w:rFonts w:ascii="Times New Roman" w:hAnsi="Times New Roman" w:cs="Times New Roman"/>
                <w:sz w:val="24"/>
                <w:szCs w:val="24"/>
                <w:lang w:val="ro-MD"/>
              </w:rPr>
              <w:t xml:space="preserve"> instalarea de sta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de încărcare în loca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 cheie, cum ar fi depourile de autobuze, nodurile de tranzit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de-a lungul rutelor de transport.</w:t>
            </w:r>
            <w:r w:rsidR="00B846DD" w:rsidRPr="00DD57E3">
              <w:rPr>
                <w:rFonts w:ascii="Times New Roman" w:hAnsi="Times New Roman" w:cs="Times New Roman"/>
                <w:sz w:val="24"/>
                <w:szCs w:val="24"/>
                <w:lang w:val="ro-MD"/>
              </w:rPr>
              <w:t xml:space="preserve"> </w:t>
            </w:r>
            <w:r w:rsidRPr="00DD57E3">
              <w:rPr>
                <w:rFonts w:ascii="Times New Roman" w:hAnsi="Times New Roman" w:cs="Times New Roman"/>
                <w:sz w:val="24"/>
                <w:szCs w:val="24"/>
                <w:lang w:val="ro-MD"/>
              </w:rPr>
              <w:t>Pentru vehiculele alimentate cu hidrogen va fi necesar să se dezvolte sta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de alimentare pentru a oferi infrastructura necesară alimentării acestor vehicule.</w:t>
            </w:r>
          </w:p>
          <w:p w14:paraId="65AF2DCE" w14:textId="08A9433D" w:rsidR="00F12DE6" w:rsidRPr="00DD57E3" w:rsidRDefault="006F4311" w:rsidP="006F4311">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În plus, între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inerea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repararea vehiculelor cu emisii reduse vor necesita instala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echipamente specializate. </w:t>
            </w:r>
            <w:r w:rsidR="00B846DD" w:rsidRPr="00DD57E3">
              <w:rPr>
                <w:rFonts w:ascii="Times New Roman" w:hAnsi="Times New Roman" w:cs="Times New Roman"/>
                <w:sz w:val="24"/>
                <w:szCs w:val="24"/>
                <w:lang w:val="ro-MD"/>
              </w:rPr>
              <w:t>Autorită</w:t>
            </w:r>
            <w:r w:rsidR="00D84F0C" w:rsidRPr="00DD57E3">
              <w:rPr>
                <w:rFonts w:ascii="Times New Roman" w:hAnsi="Times New Roman" w:cs="Times New Roman"/>
                <w:sz w:val="24"/>
                <w:szCs w:val="24"/>
                <w:lang w:val="ro-MD"/>
              </w:rPr>
              <w:t>ț</w:t>
            </w:r>
            <w:r w:rsidR="00B846DD" w:rsidRPr="00DD57E3">
              <w:rPr>
                <w:rFonts w:ascii="Times New Roman" w:hAnsi="Times New Roman" w:cs="Times New Roman"/>
                <w:sz w:val="24"/>
                <w:szCs w:val="24"/>
                <w:lang w:val="ro-MD"/>
              </w:rPr>
              <w:t>ile</w:t>
            </w:r>
            <w:r w:rsidRPr="00DD57E3">
              <w:rPr>
                <w:rFonts w:ascii="Times New Roman" w:hAnsi="Times New Roman" w:cs="Times New Roman"/>
                <w:sz w:val="24"/>
                <w:szCs w:val="24"/>
                <w:lang w:val="ro-MD"/>
              </w:rPr>
              <w:t xml:space="preserve"> publice vor trebui să </w:t>
            </w:r>
            <w:r w:rsidR="00B846DD" w:rsidRPr="00DD57E3">
              <w:rPr>
                <w:rFonts w:ascii="Times New Roman" w:hAnsi="Times New Roman" w:cs="Times New Roman"/>
                <w:sz w:val="24"/>
                <w:szCs w:val="24"/>
                <w:lang w:val="ro-MD"/>
              </w:rPr>
              <w:t>asigure dezvoltarea</w:t>
            </w:r>
            <w:r w:rsidRPr="00DD57E3">
              <w:rPr>
                <w:rFonts w:ascii="Times New Roman" w:hAnsi="Times New Roman" w:cs="Times New Roman"/>
                <w:sz w:val="24"/>
                <w:szCs w:val="24"/>
                <w:lang w:val="ro-MD"/>
              </w:rPr>
              <w:t xml:space="preserve"> infrastructuri de între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inere capabile să gestioneze noile tehnologii, inclusiv instrumente adecvate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personal calificat pentru gestionarea bateriilor vehiculelor electrice, sisteme de alimentare cu hidrogen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alte tehnologii specializate. Aceste instala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trebuie să fie echipate astfel încât să se asigure că flotele rămân opera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ionale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că vehiculele beneficiază în timp util de o între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inere de înaltă calitate pentru a respecta standardele de siguran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ă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eficien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ă.</w:t>
            </w:r>
          </w:p>
          <w:p w14:paraId="4DDC6972" w14:textId="704D6CC9" w:rsidR="00F12DE6" w:rsidRPr="00DD57E3" w:rsidRDefault="00A01CC6" w:rsidP="00F12DE6">
            <w:pPr>
              <w:tabs>
                <w:tab w:val="left" w:pos="990"/>
              </w:tabs>
              <w:spacing w:after="120" w:line="240" w:lineRule="auto"/>
              <w:jc w:val="both"/>
              <w:rPr>
                <w:rFonts w:ascii="Times New Roman" w:hAnsi="Times New Roman" w:cs="Times New Roman"/>
                <w:i/>
                <w:iCs/>
                <w:sz w:val="24"/>
                <w:szCs w:val="24"/>
                <w:u w:val="single"/>
                <w:lang w:val="ro-MD"/>
              </w:rPr>
            </w:pPr>
            <w:r w:rsidRPr="00DD57E3">
              <w:rPr>
                <w:rFonts w:ascii="Times New Roman" w:hAnsi="Times New Roman" w:cs="Times New Roman"/>
                <w:i/>
                <w:iCs/>
                <w:sz w:val="24"/>
                <w:szCs w:val="24"/>
                <w:u w:val="single"/>
                <w:lang w:val="ro-MD"/>
              </w:rPr>
              <w:t>Gestionarea transportului public rutier de persoane</w:t>
            </w:r>
          </w:p>
          <w:p w14:paraId="638B0A8D" w14:textId="70A81081" w:rsidR="00A01CC6" w:rsidRPr="00DD57E3" w:rsidRDefault="00A01CC6" w:rsidP="00A01CC6">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 xml:space="preserve">Punerea în aplicare a Directivei 2009/33/CE va conduce la reforme structurale în sectorul transportului rutier de persoane, aliniindu-l mai strâns la standardele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practicile UE. O componentă-cheie a acestor reforme este introducerea contractelor de servicii publice (CSP), care vor deveni cadrul principal pentru gestionarea opera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iunilor de transport public, în special în municipalită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ile mai mici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în serviciile interurbane. </w:t>
            </w:r>
          </w:p>
          <w:p w14:paraId="4855880B" w14:textId="26F92921" w:rsidR="00A01CC6" w:rsidRPr="00DD57E3" w:rsidRDefault="00A01CC6" w:rsidP="006F798F">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 xml:space="preserve">Nevoia de </w:t>
            </w:r>
            <w:r w:rsidR="008F002F" w:rsidRPr="00DD57E3">
              <w:rPr>
                <w:rFonts w:ascii="Times New Roman" w:hAnsi="Times New Roman" w:cs="Times New Roman"/>
                <w:sz w:val="24"/>
                <w:szCs w:val="24"/>
                <w:lang w:val="ro-MD"/>
              </w:rPr>
              <w:t>CSP</w:t>
            </w:r>
            <w:r w:rsidRPr="00DD57E3">
              <w:rPr>
                <w:rFonts w:ascii="Times New Roman" w:hAnsi="Times New Roman" w:cs="Times New Roman"/>
                <w:sz w:val="24"/>
                <w:szCs w:val="24"/>
                <w:lang w:val="ro-MD"/>
              </w:rPr>
              <w:t xml:space="preserve"> de transport rezultă din necesitatea de a reglementa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controla calitatea serviciilor de transport într-un mod mai structurat. Prin adoptarea acestui cadru, autorită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ile publice vor ob</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ine o mai mare supraveghere a operatorilor, facilitând aplicarea standardelor de mediu, cum ar fi cerin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ele privind vehiculele cu emisii reduse,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îmbunătă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ind fiabilitatea generală a serviciilor. </w:t>
            </w:r>
          </w:p>
          <w:p w14:paraId="06EBF7F8" w14:textId="43FB1E5D" w:rsidR="00A01CC6" w:rsidRPr="00DD57E3" w:rsidRDefault="00A01CC6" w:rsidP="00A01CC6">
            <w:pPr>
              <w:tabs>
                <w:tab w:val="left" w:pos="990"/>
              </w:tabs>
              <w:spacing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 xml:space="preserve">Programele de sprijin, atât financiare, cât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tehnice, vor fi esen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iale pentru a ghida operatorii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autorită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ile în această tranzi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ie. Aceste programe pot contribui la compensarea costurilor asociate cu modernizarea flotei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pot oferi expertiza necesară pentru implementarea practicilor durabile. Acest sprijin va fi esen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ial pentru a garanta că sectorul transportului rutier de persoane se poate adapta la aceste schimbări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poate îmbunătă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 atât calitatea serviciilor, cât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durabilitatea mediului, în conformitate cu obiectivele UE.</w:t>
            </w:r>
          </w:p>
          <w:p w14:paraId="5E6BC273" w14:textId="42A5A357" w:rsidR="00D91B9B" w:rsidRPr="00DD57E3" w:rsidRDefault="00D91B9B">
            <w:pPr>
              <w:tabs>
                <w:tab w:val="left" w:pos="990"/>
              </w:tabs>
              <w:spacing w:after="12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lastRenderedPageBreak/>
              <w:t xml:space="preserve">Un transport public conform standardelor moderne de mobilitate este o modalitate bună de a optimiza timpul utilizat, de a reduce congestia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emisia de noxe, de substan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e dăunătoare mediului înconjurător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sănătă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popula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iei în zonele urbane.</w:t>
            </w:r>
            <w:r w:rsidRPr="00DD57E3">
              <w:rPr>
                <w:rFonts w:ascii="Times New Roman" w:hAnsi="Times New Roman" w:cs="Times New Roman"/>
                <w:bCs/>
                <w:iCs/>
                <w:sz w:val="24"/>
                <w:szCs w:val="24"/>
                <w:vertAlign w:val="superscript"/>
                <w:lang w:val="ro-MD"/>
              </w:rPr>
              <w:footnoteReference w:id="21"/>
            </w:r>
          </w:p>
          <w:p w14:paraId="670FAB1D" w14:textId="465C0D9E" w:rsidR="00D91B9B" w:rsidRPr="00DD57E3" w:rsidRDefault="00D91B9B">
            <w:pPr>
              <w:tabs>
                <w:tab w:val="left" w:pos="990"/>
              </w:tabs>
              <w:spacing w:after="0" w:line="240" w:lineRule="auto"/>
              <w:jc w:val="both"/>
              <w:rPr>
                <w:rFonts w:ascii="Times New Roman" w:hAnsi="Times New Roman" w:cs="Times New Roman"/>
                <w:b/>
                <w:i/>
                <w:sz w:val="24"/>
                <w:szCs w:val="24"/>
                <w:lang w:val="ro-MD"/>
              </w:rPr>
            </w:pPr>
            <w:bookmarkStart w:id="10" w:name="_Hlk191386257"/>
            <w:r w:rsidRPr="00DD57E3">
              <w:rPr>
                <w:rFonts w:ascii="Times New Roman" w:hAnsi="Times New Roman" w:cs="Times New Roman"/>
                <w:b/>
                <w:i/>
                <w:sz w:val="24"/>
                <w:szCs w:val="24"/>
                <w:lang w:val="ro-MD"/>
              </w:rPr>
              <w:t xml:space="preserve">4.2. Impactul financiar </w:t>
            </w:r>
            <w:r w:rsidR="00D84F0C" w:rsidRPr="00DD57E3">
              <w:rPr>
                <w:rFonts w:ascii="Times New Roman" w:hAnsi="Times New Roman" w:cs="Times New Roman"/>
                <w:b/>
                <w:i/>
                <w:sz w:val="24"/>
                <w:szCs w:val="24"/>
                <w:lang w:val="ro-MD"/>
              </w:rPr>
              <w:t>ș</w:t>
            </w:r>
            <w:r w:rsidRPr="00DD57E3">
              <w:rPr>
                <w:rFonts w:ascii="Times New Roman" w:hAnsi="Times New Roman" w:cs="Times New Roman"/>
                <w:b/>
                <w:i/>
                <w:sz w:val="24"/>
                <w:szCs w:val="24"/>
                <w:lang w:val="ro-MD"/>
              </w:rPr>
              <w:t>i argumentarea costurilor estimative</w:t>
            </w:r>
          </w:p>
          <w:bookmarkEnd w:id="10"/>
          <w:p w14:paraId="5F24629B" w14:textId="08A0B5FA" w:rsidR="00D91B9B" w:rsidRPr="00DD57E3" w:rsidRDefault="00D91B9B">
            <w:pPr>
              <w:tabs>
                <w:tab w:val="left" w:pos="990"/>
              </w:tabs>
              <w:spacing w:before="100" w:after="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Proiectul de lege pune presiune ini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ială asupra bugetelor autorită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ilor contractante de achizi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publice, în special ar putea cre</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te sarcina financiară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administrativă pentru autorită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ile publice locale. Costul de achizi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ie pentru înlocuirea parcurilor de vehicule rutiere este de a</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teptat să crească (în lipsa unor facilită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i/subven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la nivel na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ional), însă vehiculele eficiente energetic vor produce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economii de costuri opera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ionale. În func</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ie de tehnologia vehiculelor nepoluante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eficiente energetic achizi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ionate,</w:t>
            </w:r>
            <w:r w:rsidRPr="00DD57E3">
              <w:rPr>
                <w:rFonts w:ascii="Times New Roman" w:hAnsi="Times New Roman" w:cs="Times New Roman"/>
                <w:noProof/>
                <w:kern w:val="2"/>
                <w:sz w:val="24"/>
                <w:lang w:val="ro-MD"/>
                <w14:ligatures w14:val="standardContextual"/>
              </w:rPr>
              <w:t xml:space="preserve"> </w:t>
            </w:r>
            <w:r w:rsidRPr="00DD57E3">
              <w:rPr>
                <w:rFonts w:ascii="Times New Roman" w:hAnsi="Times New Roman" w:cs="Times New Roman"/>
                <w:bCs/>
                <w:iCs/>
                <w:sz w:val="24"/>
                <w:szCs w:val="24"/>
                <w:lang w:val="ro-MD"/>
              </w:rPr>
              <w:t>economiile de costuri opera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ionale ar putea să compenseze costul achizi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iei. </w:t>
            </w:r>
          </w:p>
          <w:p w14:paraId="11E7C3CE" w14:textId="4F01E7E3" w:rsidR="00D91B9B" w:rsidRPr="00DD57E3" w:rsidRDefault="00D91B9B">
            <w:pPr>
              <w:spacing w:before="100" w:after="100" w:line="259"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Adi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ional, urmează a fi luate în considerare costul extinderii infrastructurii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costurile care pot apărea în special în cazul dotării depo</w:t>
            </w:r>
            <w:r w:rsidR="00447B3D" w:rsidRPr="00DD57E3">
              <w:rPr>
                <w:rFonts w:ascii="Times New Roman" w:hAnsi="Times New Roman" w:cs="Times New Roman"/>
                <w:bCs/>
                <w:iCs/>
                <w:sz w:val="24"/>
                <w:szCs w:val="24"/>
                <w:lang w:val="ro-MD"/>
              </w:rPr>
              <w:t>uri</w:t>
            </w:r>
            <w:r w:rsidRPr="00DD57E3">
              <w:rPr>
                <w:rFonts w:ascii="Times New Roman" w:hAnsi="Times New Roman" w:cs="Times New Roman"/>
                <w:bCs/>
                <w:iCs/>
                <w:sz w:val="24"/>
                <w:szCs w:val="24"/>
                <w:lang w:val="ro-MD"/>
              </w:rPr>
              <w:t xml:space="preserve">lor de </w:t>
            </w:r>
            <w:r w:rsidR="00447B3D" w:rsidRPr="00DD57E3">
              <w:rPr>
                <w:rFonts w:ascii="Times New Roman" w:hAnsi="Times New Roman" w:cs="Times New Roman"/>
                <w:bCs/>
                <w:iCs/>
                <w:sz w:val="24"/>
                <w:szCs w:val="24"/>
                <w:lang w:val="ro-MD"/>
              </w:rPr>
              <w:t xml:space="preserve">vehicule </w:t>
            </w:r>
            <w:r w:rsidRPr="00DD57E3">
              <w:rPr>
                <w:rFonts w:ascii="Times New Roman" w:hAnsi="Times New Roman" w:cs="Times New Roman"/>
                <w:bCs/>
                <w:iCs/>
                <w:sz w:val="24"/>
                <w:szCs w:val="24"/>
                <w:lang w:val="ro-MD"/>
              </w:rPr>
              <w:t>cu infrastructură de reîncărcare.</w:t>
            </w:r>
          </w:p>
          <w:p w14:paraId="19F4C167" w14:textId="77777777" w:rsidR="00447B3D" w:rsidRPr="00DD57E3" w:rsidRDefault="00447B3D" w:rsidP="00447B3D">
            <w:pPr>
              <w:spacing w:before="100" w:after="100" w:line="259"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Analiza comparativă a costurilor de capital (CAPEX) și costurilor operaționale (OPEX) pentru perioada 2026-2030 indică faptul că scenariul moderat este cel mai eficient din punct de vedere financiar, chiar și în raport cu scenariul „de a nu face nimic” (BAU). Această eficiență este determinată de economiile de costuri operaționale generate de vehiculele nepoluante, care au un consum mai redus de energie și costuri mai mici de mentenanță.</w:t>
            </w:r>
          </w:p>
          <w:p w14:paraId="5D400A05" w14:textId="53E8D94B" w:rsidR="00B06CD1" w:rsidRPr="00DD57E3" w:rsidRDefault="00B06CD1" w:rsidP="006F6753">
            <w:pPr>
              <w:spacing w:before="100" w:after="100" w:line="259" w:lineRule="auto"/>
              <w:jc w:val="right"/>
              <w:rPr>
                <w:rFonts w:ascii="Times New Roman" w:hAnsi="Times New Roman" w:cs="Times New Roman"/>
                <w:bCs/>
                <w:iCs/>
                <w:sz w:val="24"/>
                <w:szCs w:val="24"/>
                <w:lang w:val="ro-MD"/>
              </w:rPr>
            </w:pPr>
            <w:r w:rsidRPr="00DD57E3">
              <w:rPr>
                <w:rFonts w:ascii="Times New Roman" w:eastAsiaTheme="minorEastAsia" w:hAnsi="Times New Roman" w:cs="Times New Roman"/>
                <w:i/>
                <w:sz w:val="24"/>
                <w:szCs w:val="24"/>
                <w:lang w:val="ro-MD" w:eastAsia="ar-SA"/>
              </w:rPr>
              <w:t xml:space="preserve">Tabel 7. </w:t>
            </w:r>
            <w:r w:rsidR="006F6753" w:rsidRPr="00DD57E3">
              <w:rPr>
                <w:rFonts w:ascii="Times New Roman" w:eastAsiaTheme="minorEastAsia" w:hAnsi="Times New Roman" w:cs="Times New Roman"/>
                <w:i/>
                <w:sz w:val="24"/>
                <w:szCs w:val="24"/>
                <w:lang w:val="ro-MD" w:eastAsia="ar-SA"/>
              </w:rPr>
              <w:t>Impactul financiar</w:t>
            </w:r>
            <w:r w:rsidRPr="00DD57E3">
              <w:rPr>
                <w:rFonts w:ascii="Times New Roman" w:eastAsiaTheme="minorEastAsia" w:hAnsi="Times New Roman" w:cs="Times New Roman"/>
                <w:i/>
                <w:sz w:val="24"/>
                <w:szCs w:val="24"/>
                <w:lang w:val="ro-MD" w:eastAsia="ar-SA"/>
              </w:rPr>
              <w:t xml:space="preserve"> </w:t>
            </w:r>
            <w:r w:rsidR="006F6753" w:rsidRPr="00DD57E3">
              <w:rPr>
                <w:rFonts w:ascii="Times New Roman" w:eastAsiaTheme="minorEastAsia" w:hAnsi="Times New Roman" w:cs="Times New Roman"/>
                <w:i/>
                <w:sz w:val="24"/>
                <w:szCs w:val="24"/>
                <w:lang w:val="ro-MD" w:eastAsia="ar-SA"/>
              </w:rPr>
              <w:t>(scenariu "de a face nimic" (BAU))</w:t>
            </w:r>
          </w:p>
          <w:tbl>
            <w:tblPr>
              <w:tblW w:w="10093" w:type="dxa"/>
              <w:jc w:val="center"/>
              <w:tblLook w:val="04A0" w:firstRow="1" w:lastRow="0" w:firstColumn="1" w:lastColumn="0" w:noHBand="0" w:noVBand="1"/>
            </w:tblPr>
            <w:tblGrid>
              <w:gridCol w:w="886"/>
              <w:gridCol w:w="846"/>
              <w:gridCol w:w="1046"/>
              <w:gridCol w:w="846"/>
              <w:gridCol w:w="1046"/>
              <w:gridCol w:w="936"/>
              <w:gridCol w:w="1046"/>
              <w:gridCol w:w="846"/>
              <w:gridCol w:w="1046"/>
              <w:gridCol w:w="936"/>
              <w:gridCol w:w="1046"/>
            </w:tblGrid>
            <w:tr w:rsidR="00C108FB" w:rsidRPr="00DD57E3" w14:paraId="7DD11832" w14:textId="77777777" w:rsidTr="00F639E7">
              <w:trPr>
                <w:trHeight w:val="20"/>
                <w:jc w:val="center"/>
              </w:trPr>
              <w:tc>
                <w:tcPr>
                  <w:tcW w:w="10093"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3127CF" w14:textId="77777777" w:rsidR="00447B3D" w:rsidRPr="00DD57E3" w:rsidRDefault="00447B3D" w:rsidP="00447B3D">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Scenariu "de a face nimic" (BAU)</w:t>
                  </w:r>
                </w:p>
              </w:tc>
            </w:tr>
            <w:tr w:rsidR="00447B3D" w:rsidRPr="00DD57E3" w14:paraId="0028039A" w14:textId="77777777" w:rsidTr="00F639E7">
              <w:trPr>
                <w:trHeight w:val="20"/>
                <w:jc w:val="center"/>
              </w:trPr>
              <w:tc>
                <w:tcPr>
                  <w:tcW w:w="88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99A3ADC" w14:textId="77777777" w:rsidR="00447B3D" w:rsidRPr="00DD57E3" w:rsidRDefault="00447B3D" w:rsidP="00447B3D">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Categorii de vehicule</w:t>
                  </w:r>
                </w:p>
              </w:tc>
              <w:tc>
                <w:tcPr>
                  <w:tcW w:w="189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CD0FE24" w14:textId="77777777" w:rsidR="00447B3D" w:rsidRPr="00DD57E3" w:rsidRDefault="00447B3D" w:rsidP="00447B3D">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Necesar de înnoit/achiziționat</w:t>
                  </w:r>
                </w:p>
              </w:tc>
              <w:tc>
                <w:tcPr>
                  <w:tcW w:w="189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8B253FD" w14:textId="77777777" w:rsidR="00447B3D" w:rsidRPr="00DD57E3" w:rsidRDefault="00447B3D" w:rsidP="00447B3D">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Valoarea actuală medie a 1 vehicul, mii MDL</w:t>
                  </w:r>
                </w:p>
              </w:tc>
              <w:tc>
                <w:tcPr>
                  <w:tcW w:w="198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4CF17D" w14:textId="77777777" w:rsidR="00447B3D" w:rsidRPr="00DD57E3" w:rsidRDefault="00447B3D" w:rsidP="00447B3D">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Cost CAPEX, mii MDL</w:t>
                  </w:r>
                </w:p>
              </w:tc>
              <w:tc>
                <w:tcPr>
                  <w:tcW w:w="189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ED94DC9" w14:textId="77777777" w:rsidR="00447B3D" w:rsidRPr="00DD57E3" w:rsidRDefault="00447B3D" w:rsidP="00447B3D">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Costurile operaționale anuale per 1 vehicul, mii MDL/an</w:t>
                  </w:r>
                </w:p>
              </w:tc>
              <w:tc>
                <w:tcPr>
                  <w:tcW w:w="154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189D7C8" w14:textId="77777777" w:rsidR="00447B3D" w:rsidRPr="00DD57E3" w:rsidRDefault="00447B3D" w:rsidP="00447B3D">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Cost OPEX (2026-2030), mii MDL</w:t>
                  </w:r>
                </w:p>
              </w:tc>
            </w:tr>
            <w:tr w:rsidR="00447B3D" w:rsidRPr="00DD57E3" w14:paraId="717504EB" w14:textId="77777777" w:rsidTr="00F639E7">
              <w:trPr>
                <w:trHeight w:val="20"/>
                <w:jc w:val="center"/>
              </w:trPr>
              <w:tc>
                <w:tcPr>
                  <w:tcW w:w="886"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1EECA9" w14:textId="77777777" w:rsidR="00447B3D" w:rsidRPr="00DD57E3" w:rsidRDefault="00447B3D" w:rsidP="00447B3D">
                  <w:pPr>
                    <w:spacing w:after="0" w:line="240" w:lineRule="auto"/>
                    <w:rPr>
                      <w:rFonts w:ascii="Times New Roman" w:eastAsia="Times New Roman" w:hAnsi="Times New Roman" w:cs="Times New Roman"/>
                      <w:color w:val="000000"/>
                      <w:sz w:val="18"/>
                      <w:szCs w:val="18"/>
                      <w:lang w:val="ro-MD"/>
                    </w:rPr>
                  </w:pP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2F69CE56" w14:textId="77777777" w:rsidR="00447B3D" w:rsidRPr="00DD57E3" w:rsidRDefault="00447B3D" w:rsidP="00447B3D">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1046" w:type="dxa"/>
                  <w:tcBorders>
                    <w:top w:val="nil"/>
                    <w:left w:val="nil"/>
                    <w:bottom w:val="single" w:sz="4" w:space="0" w:color="auto"/>
                    <w:right w:val="single" w:sz="4" w:space="0" w:color="auto"/>
                  </w:tcBorders>
                  <w:shd w:val="clear" w:color="auto" w:fill="F2F2F2" w:themeFill="background1" w:themeFillShade="F2"/>
                  <w:vAlign w:val="center"/>
                  <w:hideMark/>
                </w:tcPr>
                <w:p w14:paraId="091D9145" w14:textId="77777777" w:rsidR="00447B3D" w:rsidRPr="00DD57E3" w:rsidRDefault="00447B3D" w:rsidP="00447B3D">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E5AA975" w14:textId="77777777" w:rsidR="00447B3D" w:rsidRPr="00DD57E3" w:rsidRDefault="00447B3D" w:rsidP="00447B3D">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1046" w:type="dxa"/>
                  <w:tcBorders>
                    <w:top w:val="nil"/>
                    <w:left w:val="nil"/>
                    <w:bottom w:val="single" w:sz="4" w:space="0" w:color="auto"/>
                    <w:right w:val="single" w:sz="4" w:space="0" w:color="auto"/>
                  </w:tcBorders>
                  <w:shd w:val="clear" w:color="auto" w:fill="F2F2F2" w:themeFill="background1" w:themeFillShade="F2"/>
                  <w:vAlign w:val="center"/>
                  <w:hideMark/>
                </w:tcPr>
                <w:p w14:paraId="0723B97C" w14:textId="77777777" w:rsidR="00447B3D" w:rsidRPr="00DD57E3" w:rsidRDefault="00447B3D" w:rsidP="00447B3D">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936" w:type="dxa"/>
                  <w:tcBorders>
                    <w:top w:val="nil"/>
                    <w:left w:val="nil"/>
                    <w:bottom w:val="single" w:sz="4" w:space="0" w:color="auto"/>
                    <w:right w:val="single" w:sz="4" w:space="0" w:color="auto"/>
                  </w:tcBorders>
                  <w:shd w:val="clear" w:color="auto" w:fill="F2F2F2" w:themeFill="background1" w:themeFillShade="F2"/>
                  <w:vAlign w:val="center"/>
                  <w:hideMark/>
                </w:tcPr>
                <w:p w14:paraId="008F8492" w14:textId="77777777" w:rsidR="00447B3D" w:rsidRPr="00DD57E3" w:rsidRDefault="00447B3D" w:rsidP="00447B3D">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1046" w:type="dxa"/>
                  <w:tcBorders>
                    <w:top w:val="nil"/>
                    <w:left w:val="nil"/>
                    <w:bottom w:val="single" w:sz="4" w:space="0" w:color="auto"/>
                    <w:right w:val="single" w:sz="4" w:space="0" w:color="auto"/>
                  </w:tcBorders>
                  <w:shd w:val="clear" w:color="auto" w:fill="F2F2F2" w:themeFill="background1" w:themeFillShade="F2"/>
                  <w:vAlign w:val="center"/>
                  <w:hideMark/>
                </w:tcPr>
                <w:p w14:paraId="1CDD8333" w14:textId="77777777" w:rsidR="00447B3D" w:rsidRPr="00DD57E3" w:rsidRDefault="00447B3D" w:rsidP="00447B3D">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78FEEACE" w14:textId="77777777" w:rsidR="00447B3D" w:rsidRPr="00DD57E3" w:rsidRDefault="00447B3D" w:rsidP="00447B3D">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1046" w:type="dxa"/>
                  <w:tcBorders>
                    <w:top w:val="nil"/>
                    <w:left w:val="nil"/>
                    <w:bottom w:val="single" w:sz="4" w:space="0" w:color="auto"/>
                    <w:right w:val="single" w:sz="4" w:space="0" w:color="auto"/>
                  </w:tcBorders>
                  <w:shd w:val="clear" w:color="auto" w:fill="F2F2F2" w:themeFill="background1" w:themeFillShade="F2"/>
                  <w:vAlign w:val="center"/>
                  <w:hideMark/>
                </w:tcPr>
                <w:p w14:paraId="6682DDC7" w14:textId="77777777" w:rsidR="00447B3D" w:rsidRPr="00DD57E3" w:rsidRDefault="00447B3D" w:rsidP="00447B3D">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936" w:type="dxa"/>
                  <w:tcBorders>
                    <w:top w:val="nil"/>
                    <w:left w:val="nil"/>
                    <w:bottom w:val="single" w:sz="4" w:space="0" w:color="auto"/>
                    <w:right w:val="single" w:sz="4" w:space="0" w:color="auto"/>
                  </w:tcBorders>
                  <w:shd w:val="clear" w:color="auto" w:fill="F2F2F2" w:themeFill="background1" w:themeFillShade="F2"/>
                  <w:vAlign w:val="center"/>
                  <w:hideMark/>
                </w:tcPr>
                <w:p w14:paraId="458303F8" w14:textId="77777777" w:rsidR="00447B3D" w:rsidRPr="00DD57E3" w:rsidRDefault="00447B3D" w:rsidP="00447B3D">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613" w:type="dxa"/>
                  <w:tcBorders>
                    <w:top w:val="nil"/>
                    <w:left w:val="nil"/>
                    <w:bottom w:val="single" w:sz="4" w:space="0" w:color="auto"/>
                    <w:right w:val="single" w:sz="4" w:space="0" w:color="auto"/>
                  </w:tcBorders>
                  <w:shd w:val="clear" w:color="auto" w:fill="F2F2F2" w:themeFill="background1" w:themeFillShade="F2"/>
                  <w:vAlign w:val="center"/>
                  <w:hideMark/>
                </w:tcPr>
                <w:p w14:paraId="4E3C116B" w14:textId="77777777" w:rsidR="00447B3D" w:rsidRPr="00DD57E3" w:rsidRDefault="00447B3D" w:rsidP="00447B3D">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r>
            <w:tr w:rsidR="00447B3D" w:rsidRPr="00DD57E3" w14:paraId="4125C013" w14:textId="77777777" w:rsidTr="00D35A0D">
              <w:trPr>
                <w:trHeight w:val="20"/>
                <w:jc w:val="center"/>
              </w:trPr>
              <w:tc>
                <w:tcPr>
                  <w:tcW w:w="886" w:type="dxa"/>
                  <w:tcBorders>
                    <w:top w:val="nil"/>
                    <w:left w:val="single" w:sz="4" w:space="0" w:color="auto"/>
                    <w:bottom w:val="single" w:sz="4" w:space="0" w:color="auto"/>
                    <w:right w:val="single" w:sz="4" w:space="0" w:color="auto"/>
                  </w:tcBorders>
                  <w:shd w:val="clear" w:color="000000" w:fill="D9D9D9"/>
                  <w:vAlign w:val="center"/>
                  <w:hideMark/>
                </w:tcPr>
                <w:p w14:paraId="314A9D6A" w14:textId="479A4F43" w:rsidR="00447B3D" w:rsidRPr="00DD57E3" w:rsidRDefault="00447B3D" w:rsidP="00447B3D">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V</w:t>
                  </w:r>
                  <w:r w:rsidR="00355788" w:rsidRPr="00DD57E3">
                    <w:rPr>
                      <w:rFonts w:ascii="Times New Roman" w:eastAsia="Times New Roman" w:hAnsi="Times New Roman" w:cs="Times New Roman"/>
                      <w:b/>
                      <w:color w:val="000000"/>
                      <w:sz w:val="18"/>
                      <w:szCs w:val="18"/>
                      <w:lang w:val="ro-MD"/>
                    </w:rPr>
                    <w:t>U</w:t>
                  </w:r>
                  <w:r w:rsidRPr="00DD57E3">
                    <w:rPr>
                      <w:rFonts w:ascii="Times New Roman" w:eastAsia="Times New Roman" w:hAnsi="Times New Roman" w:cs="Times New Roman"/>
                      <w:b/>
                      <w:color w:val="000000"/>
                      <w:sz w:val="18"/>
                      <w:szCs w:val="18"/>
                      <w:lang w:val="ro-MD"/>
                    </w:rPr>
                    <w:t xml:space="preserve"> (M1 si M2 si N1)</w:t>
                  </w:r>
                </w:p>
              </w:tc>
              <w:tc>
                <w:tcPr>
                  <w:tcW w:w="846" w:type="dxa"/>
                  <w:tcBorders>
                    <w:top w:val="nil"/>
                    <w:left w:val="nil"/>
                    <w:bottom w:val="single" w:sz="4" w:space="0" w:color="auto"/>
                    <w:right w:val="single" w:sz="4" w:space="0" w:color="auto"/>
                  </w:tcBorders>
                  <w:shd w:val="clear" w:color="auto" w:fill="auto"/>
                  <w:vAlign w:val="center"/>
                  <w:hideMark/>
                </w:tcPr>
                <w:p w14:paraId="1685B0AB"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1533</w:t>
                  </w:r>
                </w:p>
              </w:tc>
              <w:tc>
                <w:tcPr>
                  <w:tcW w:w="1046" w:type="dxa"/>
                  <w:tcBorders>
                    <w:top w:val="nil"/>
                    <w:left w:val="nil"/>
                    <w:bottom w:val="single" w:sz="4" w:space="0" w:color="auto"/>
                    <w:right w:val="single" w:sz="4" w:space="0" w:color="auto"/>
                  </w:tcBorders>
                  <w:shd w:val="clear" w:color="auto" w:fill="auto"/>
                  <w:vAlign w:val="center"/>
                  <w:hideMark/>
                </w:tcPr>
                <w:p w14:paraId="21D75CB3"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0</w:t>
                  </w:r>
                </w:p>
              </w:tc>
              <w:tc>
                <w:tcPr>
                  <w:tcW w:w="846" w:type="dxa"/>
                  <w:tcBorders>
                    <w:top w:val="nil"/>
                    <w:left w:val="nil"/>
                    <w:bottom w:val="single" w:sz="4" w:space="0" w:color="auto"/>
                    <w:right w:val="single" w:sz="4" w:space="0" w:color="auto"/>
                  </w:tcBorders>
                  <w:shd w:val="clear" w:color="auto" w:fill="auto"/>
                  <w:vAlign w:val="center"/>
                  <w:hideMark/>
                </w:tcPr>
                <w:p w14:paraId="5E0C0AEE"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456</w:t>
                  </w:r>
                </w:p>
              </w:tc>
              <w:tc>
                <w:tcPr>
                  <w:tcW w:w="1046" w:type="dxa"/>
                  <w:tcBorders>
                    <w:top w:val="nil"/>
                    <w:left w:val="nil"/>
                    <w:bottom w:val="single" w:sz="4" w:space="0" w:color="auto"/>
                    <w:right w:val="single" w:sz="4" w:space="0" w:color="auto"/>
                  </w:tcBorders>
                  <w:shd w:val="clear" w:color="auto" w:fill="auto"/>
                  <w:vAlign w:val="center"/>
                  <w:hideMark/>
                </w:tcPr>
                <w:p w14:paraId="0F0C2661"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725</w:t>
                  </w:r>
                </w:p>
              </w:tc>
              <w:tc>
                <w:tcPr>
                  <w:tcW w:w="936" w:type="dxa"/>
                  <w:tcBorders>
                    <w:top w:val="nil"/>
                    <w:left w:val="nil"/>
                    <w:bottom w:val="single" w:sz="4" w:space="0" w:color="auto"/>
                    <w:right w:val="single" w:sz="4" w:space="0" w:color="auto"/>
                  </w:tcBorders>
                  <w:shd w:val="clear" w:color="auto" w:fill="auto"/>
                  <w:vAlign w:val="center"/>
                  <w:hideMark/>
                </w:tcPr>
                <w:p w14:paraId="60290983"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699,048</w:t>
                  </w:r>
                </w:p>
              </w:tc>
              <w:tc>
                <w:tcPr>
                  <w:tcW w:w="1046" w:type="dxa"/>
                  <w:tcBorders>
                    <w:top w:val="nil"/>
                    <w:left w:val="nil"/>
                    <w:bottom w:val="single" w:sz="4" w:space="0" w:color="auto"/>
                    <w:right w:val="single" w:sz="4" w:space="0" w:color="auto"/>
                  </w:tcBorders>
                  <w:shd w:val="clear" w:color="auto" w:fill="auto"/>
                  <w:vAlign w:val="center"/>
                  <w:hideMark/>
                </w:tcPr>
                <w:p w14:paraId="215EE239"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0</w:t>
                  </w:r>
                </w:p>
              </w:tc>
              <w:tc>
                <w:tcPr>
                  <w:tcW w:w="846" w:type="dxa"/>
                  <w:tcBorders>
                    <w:top w:val="nil"/>
                    <w:left w:val="nil"/>
                    <w:bottom w:val="single" w:sz="4" w:space="0" w:color="auto"/>
                    <w:right w:val="single" w:sz="4" w:space="0" w:color="auto"/>
                  </w:tcBorders>
                  <w:shd w:val="clear" w:color="auto" w:fill="auto"/>
                  <w:vAlign w:val="center"/>
                  <w:hideMark/>
                </w:tcPr>
                <w:p w14:paraId="5019734E"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327</w:t>
                  </w:r>
                </w:p>
              </w:tc>
              <w:tc>
                <w:tcPr>
                  <w:tcW w:w="1046" w:type="dxa"/>
                  <w:tcBorders>
                    <w:top w:val="nil"/>
                    <w:left w:val="nil"/>
                    <w:bottom w:val="single" w:sz="4" w:space="0" w:color="auto"/>
                    <w:right w:val="single" w:sz="4" w:space="0" w:color="auto"/>
                  </w:tcBorders>
                  <w:shd w:val="clear" w:color="auto" w:fill="auto"/>
                  <w:vAlign w:val="center"/>
                  <w:hideMark/>
                </w:tcPr>
                <w:p w14:paraId="7B6965ED"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281</w:t>
                  </w:r>
                </w:p>
              </w:tc>
              <w:tc>
                <w:tcPr>
                  <w:tcW w:w="936" w:type="dxa"/>
                  <w:tcBorders>
                    <w:top w:val="nil"/>
                    <w:left w:val="nil"/>
                    <w:bottom w:val="single" w:sz="4" w:space="0" w:color="auto"/>
                    <w:right w:val="single" w:sz="4" w:space="0" w:color="auto"/>
                  </w:tcBorders>
                  <w:shd w:val="clear" w:color="auto" w:fill="auto"/>
                  <w:vAlign w:val="center"/>
                  <w:hideMark/>
                </w:tcPr>
                <w:p w14:paraId="15783933"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2,504,309</w:t>
                  </w:r>
                </w:p>
              </w:tc>
              <w:tc>
                <w:tcPr>
                  <w:tcW w:w="613" w:type="dxa"/>
                  <w:tcBorders>
                    <w:top w:val="nil"/>
                    <w:left w:val="nil"/>
                    <w:bottom w:val="single" w:sz="4" w:space="0" w:color="auto"/>
                    <w:right w:val="single" w:sz="4" w:space="0" w:color="auto"/>
                  </w:tcBorders>
                  <w:shd w:val="clear" w:color="auto" w:fill="auto"/>
                  <w:vAlign w:val="center"/>
                  <w:hideMark/>
                </w:tcPr>
                <w:p w14:paraId="403715FF"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0</w:t>
                  </w:r>
                </w:p>
              </w:tc>
            </w:tr>
            <w:tr w:rsidR="00447B3D" w:rsidRPr="00DD57E3" w14:paraId="310A0C41" w14:textId="77777777" w:rsidTr="00D35A0D">
              <w:trPr>
                <w:trHeight w:val="20"/>
                <w:jc w:val="center"/>
              </w:trPr>
              <w:tc>
                <w:tcPr>
                  <w:tcW w:w="886" w:type="dxa"/>
                  <w:tcBorders>
                    <w:top w:val="nil"/>
                    <w:left w:val="single" w:sz="4" w:space="0" w:color="auto"/>
                    <w:bottom w:val="single" w:sz="4" w:space="0" w:color="auto"/>
                    <w:right w:val="single" w:sz="4" w:space="0" w:color="auto"/>
                  </w:tcBorders>
                  <w:shd w:val="clear" w:color="000000" w:fill="D9D9D9"/>
                  <w:vAlign w:val="center"/>
                  <w:hideMark/>
                </w:tcPr>
                <w:p w14:paraId="4F68228A" w14:textId="05DF9FE0" w:rsidR="00447B3D" w:rsidRPr="00DD57E3" w:rsidRDefault="00447B3D" w:rsidP="00447B3D">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V</w:t>
                  </w:r>
                  <w:r w:rsidR="00355788" w:rsidRPr="00DD57E3">
                    <w:rPr>
                      <w:rFonts w:ascii="Times New Roman" w:eastAsia="Times New Roman" w:hAnsi="Times New Roman" w:cs="Times New Roman"/>
                      <w:b/>
                      <w:color w:val="000000"/>
                      <w:sz w:val="18"/>
                      <w:szCs w:val="18"/>
                      <w:lang w:val="ro-MD"/>
                    </w:rPr>
                    <w:t>G</w:t>
                  </w:r>
                  <w:r w:rsidRPr="00DD57E3">
                    <w:rPr>
                      <w:rFonts w:ascii="Times New Roman" w:eastAsia="Times New Roman" w:hAnsi="Times New Roman" w:cs="Times New Roman"/>
                      <w:b/>
                      <w:color w:val="000000"/>
                      <w:sz w:val="18"/>
                      <w:szCs w:val="18"/>
                      <w:lang w:val="ro-MD"/>
                    </w:rPr>
                    <w:t xml:space="preserve"> (N2 si N3)</w:t>
                  </w:r>
                </w:p>
              </w:tc>
              <w:tc>
                <w:tcPr>
                  <w:tcW w:w="846" w:type="dxa"/>
                  <w:tcBorders>
                    <w:top w:val="nil"/>
                    <w:left w:val="nil"/>
                    <w:bottom w:val="single" w:sz="4" w:space="0" w:color="auto"/>
                    <w:right w:val="single" w:sz="4" w:space="0" w:color="auto"/>
                  </w:tcBorders>
                  <w:shd w:val="clear" w:color="auto" w:fill="auto"/>
                  <w:vAlign w:val="center"/>
                  <w:hideMark/>
                </w:tcPr>
                <w:p w14:paraId="6901DCF3"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223</w:t>
                  </w:r>
                </w:p>
              </w:tc>
              <w:tc>
                <w:tcPr>
                  <w:tcW w:w="1046" w:type="dxa"/>
                  <w:tcBorders>
                    <w:top w:val="nil"/>
                    <w:left w:val="nil"/>
                    <w:bottom w:val="single" w:sz="4" w:space="0" w:color="auto"/>
                    <w:right w:val="single" w:sz="4" w:space="0" w:color="auto"/>
                  </w:tcBorders>
                  <w:shd w:val="clear" w:color="auto" w:fill="auto"/>
                  <w:vAlign w:val="center"/>
                  <w:hideMark/>
                </w:tcPr>
                <w:p w14:paraId="078647CC"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0</w:t>
                  </w:r>
                </w:p>
              </w:tc>
              <w:tc>
                <w:tcPr>
                  <w:tcW w:w="846" w:type="dxa"/>
                  <w:tcBorders>
                    <w:top w:val="nil"/>
                    <w:left w:val="nil"/>
                    <w:bottom w:val="single" w:sz="4" w:space="0" w:color="auto"/>
                    <w:right w:val="single" w:sz="4" w:space="0" w:color="auto"/>
                  </w:tcBorders>
                  <w:shd w:val="clear" w:color="auto" w:fill="auto"/>
                  <w:vAlign w:val="center"/>
                  <w:hideMark/>
                </w:tcPr>
                <w:p w14:paraId="457D17B4"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2,320</w:t>
                  </w:r>
                </w:p>
              </w:tc>
              <w:tc>
                <w:tcPr>
                  <w:tcW w:w="1046" w:type="dxa"/>
                  <w:tcBorders>
                    <w:top w:val="nil"/>
                    <w:left w:val="nil"/>
                    <w:bottom w:val="single" w:sz="4" w:space="0" w:color="auto"/>
                    <w:right w:val="single" w:sz="4" w:space="0" w:color="auto"/>
                  </w:tcBorders>
                  <w:shd w:val="clear" w:color="auto" w:fill="auto"/>
                  <w:vAlign w:val="center"/>
                  <w:hideMark/>
                </w:tcPr>
                <w:p w14:paraId="6B032FE0"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2,320</w:t>
                  </w:r>
                </w:p>
              </w:tc>
              <w:tc>
                <w:tcPr>
                  <w:tcW w:w="936" w:type="dxa"/>
                  <w:tcBorders>
                    <w:top w:val="nil"/>
                    <w:left w:val="nil"/>
                    <w:bottom w:val="single" w:sz="4" w:space="0" w:color="auto"/>
                    <w:right w:val="single" w:sz="4" w:space="0" w:color="auto"/>
                  </w:tcBorders>
                  <w:shd w:val="clear" w:color="auto" w:fill="auto"/>
                  <w:vAlign w:val="center"/>
                  <w:hideMark/>
                </w:tcPr>
                <w:p w14:paraId="74509C42"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517,360</w:t>
                  </w:r>
                </w:p>
              </w:tc>
              <w:tc>
                <w:tcPr>
                  <w:tcW w:w="1046" w:type="dxa"/>
                  <w:tcBorders>
                    <w:top w:val="nil"/>
                    <w:left w:val="nil"/>
                    <w:bottom w:val="single" w:sz="4" w:space="0" w:color="auto"/>
                    <w:right w:val="single" w:sz="4" w:space="0" w:color="auto"/>
                  </w:tcBorders>
                  <w:shd w:val="clear" w:color="auto" w:fill="auto"/>
                  <w:vAlign w:val="center"/>
                  <w:hideMark/>
                </w:tcPr>
                <w:p w14:paraId="538781CB"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0</w:t>
                  </w:r>
                </w:p>
              </w:tc>
              <w:tc>
                <w:tcPr>
                  <w:tcW w:w="846" w:type="dxa"/>
                  <w:tcBorders>
                    <w:top w:val="nil"/>
                    <w:left w:val="nil"/>
                    <w:bottom w:val="single" w:sz="4" w:space="0" w:color="auto"/>
                    <w:right w:val="single" w:sz="4" w:space="0" w:color="auto"/>
                  </w:tcBorders>
                  <w:shd w:val="clear" w:color="auto" w:fill="auto"/>
                  <w:vAlign w:val="center"/>
                  <w:hideMark/>
                </w:tcPr>
                <w:p w14:paraId="108B1F4B"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793</w:t>
                  </w:r>
                </w:p>
              </w:tc>
              <w:tc>
                <w:tcPr>
                  <w:tcW w:w="1046" w:type="dxa"/>
                  <w:tcBorders>
                    <w:top w:val="nil"/>
                    <w:left w:val="nil"/>
                    <w:bottom w:val="single" w:sz="4" w:space="0" w:color="auto"/>
                    <w:right w:val="single" w:sz="4" w:space="0" w:color="auto"/>
                  </w:tcBorders>
                  <w:shd w:val="clear" w:color="auto" w:fill="auto"/>
                  <w:vAlign w:val="center"/>
                  <w:hideMark/>
                </w:tcPr>
                <w:p w14:paraId="443C2BDB"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539</w:t>
                  </w:r>
                </w:p>
              </w:tc>
              <w:tc>
                <w:tcPr>
                  <w:tcW w:w="936" w:type="dxa"/>
                  <w:tcBorders>
                    <w:top w:val="nil"/>
                    <w:left w:val="nil"/>
                    <w:bottom w:val="single" w:sz="4" w:space="0" w:color="auto"/>
                    <w:right w:val="single" w:sz="4" w:space="0" w:color="auto"/>
                  </w:tcBorders>
                  <w:shd w:val="clear" w:color="auto" w:fill="auto"/>
                  <w:vAlign w:val="center"/>
                  <w:hideMark/>
                </w:tcPr>
                <w:p w14:paraId="536B3F75"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884,373</w:t>
                  </w:r>
                </w:p>
              </w:tc>
              <w:tc>
                <w:tcPr>
                  <w:tcW w:w="613" w:type="dxa"/>
                  <w:tcBorders>
                    <w:top w:val="nil"/>
                    <w:left w:val="nil"/>
                    <w:bottom w:val="single" w:sz="4" w:space="0" w:color="auto"/>
                    <w:right w:val="single" w:sz="4" w:space="0" w:color="auto"/>
                  </w:tcBorders>
                  <w:shd w:val="clear" w:color="auto" w:fill="auto"/>
                  <w:vAlign w:val="center"/>
                  <w:hideMark/>
                </w:tcPr>
                <w:p w14:paraId="546E4F9B"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0</w:t>
                  </w:r>
                </w:p>
              </w:tc>
            </w:tr>
            <w:tr w:rsidR="00447B3D" w:rsidRPr="00DD57E3" w14:paraId="417E5CA7" w14:textId="77777777" w:rsidTr="00D35A0D">
              <w:trPr>
                <w:trHeight w:val="20"/>
                <w:jc w:val="center"/>
              </w:trPr>
              <w:tc>
                <w:tcPr>
                  <w:tcW w:w="886" w:type="dxa"/>
                  <w:tcBorders>
                    <w:top w:val="nil"/>
                    <w:left w:val="single" w:sz="4" w:space="0" w:color="auto"/>
                    <w:bottom w:val="single" w:sz="4" w:space="0" w:color="auto"/>
                    <w:right w:val="single" w:sz="4" w:space="0" w:color="auto"/>
                  </w:tcBorders>
                  <w:shd w:val="clear" w:color="000000" w:fill="D9D9D9"/>
                  <w:vAlign w:val="center"/>
                  <w:hideMark/>
                </w:tcPr>
                <w:p w14:paraId="01F1A1FE" w14:textId="6F050261" w:rsidR="00447B3D" w:rsidRPr="00DD57E3" w:rsidRDefault="00447B3D" w:rsidP="00447B3D">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BUS (M3)</w:t>
                  </w:r>
                </w:p>
              </w:tc>
              <w:tc>
                <w:tcPr>
                  <w:tcW w:w="846" w:type="dxa"/>
                  <w:tcBorders>
                    <w:top w:val="nil"/>
                    <w:left w:val="nil"/>
                    <w:bottom w:val="single" w:sz="4" w:space="0" w:color="auto"/>
                    <w:right w:val="single" w:sz="4" w:space="0" w:color="auto"/>
                  </w:tcBorders>
                  <w:shd w:val="clear" w:color="auto" w:fill="auto"/>
                  <w:vAlign w:val="center"/>
                  <w:hideMark/>
                </w:tcPr>
                <w:p w14:paraId="2DE04219"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114</w:t>
                  </w:r>
                </w:p>
              </w:tc>
              <w:tc>
                <w:tcPr>
                  <w:tcW w:w="1046" w:type="dxa"/>
                  <w:tcBorders>
                    <w:top w:val="nil"/>
                    <w:left w:val="nil"/>
                    <w:bottom w:val="single" w:sz="4" w:space="0" w:color="auto"/>
                    <w:right w:val="single" w:sz="4" w:space="0" w:color="auto"/>
                  </w:tcBorders>
                  <w:shd w:val="clear" w:color="auto" w:fill="auto"/>
                  <w:vAlign w:val="center"/>
                  <w:hideMark/>
                </w:tcPr>
                <w:p w14:paraId="0F54951A"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17</w:t>
                  </w:r>
                </w:p>
              </w:tc>
              <w:tc>
                <w:tcPr>
                  <w:tcW w:w="846" w:type="dxa"/>
                  <w:tcBorders>
                    <w:top w:val="nil"/>
                    <w:left w:val="nil"/>
                    <w:bottom w:val="single" w:sz="4" w:space="0" w:color="auto"/>
                    <w:right w:val="single" w:sz="4" w:space="0" w:color="auto"/>
                  </w:tcBorders>
                  <w:shd w:val="clear" w:color="auto" w:fill="auto"/>
                  <w:vAlign w:val="center"/>
                  <w:hideMark/>
                </w:tcPr>
                <w:p w14:paraId="3AE8ACA9"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5,561</w:t>
                  </w:r>
                </w:p>
              </w:tc>
              <w:tc>
                <w:tcPr>
                  <w:tcW w:w="1046" w:type="dxa"/>
                  <w:tcBorders>
                    <w:top w:val="nil"/>
                    <w:left w:val="nil"/>
                    <w:bottom w:val="single" w:sz="4" w:space="0" w:color="auto"/>
                    <w:right w:val="single" w:sz="4" w:space="0" w:color="auto"/>
                  </w:tcBorders>
                  <w:shd w:val="clear" w:color="auto" w:fill="auto"/>
                  <w:vAlign w:val="center"/>
                  <w:hideMark/>
                </w:tcPr>
                <w:p w14:paraId="0B349B4D"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11,400</w:t>
                  </w:r>
                </w:p>
              </w:tc>
              <w:tc>
                <w:tcPr>
                  <w:tcW w:w="936" w:type="dxa"/>
                  <w:tcBorders>
                    <w:top w:val="nil"/>
                    <w:left w:val="nil"/>
                    <w:bottom w:val="single" w:sz="4" w:space="0" w:color="auto"/>
                    <w:right w:val="single" w:sz="4" w:space="0" w:color="auto"/>
                  </w:tcBorders>
                  <w:shd w:val="clear" w:color="auto" w:fill="auto"/>
                  <w:vAlign w:val="center"/>
                  <w:hideMark/>
                </w:tcPr>
                <w:p w14:paraId="7C368C85"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633,931</w:t>
                  </w:r>
                </w:p>
              </w:tc>
              <w:tc>
                <w:tcPr>
                  <w:tcW w:w="1046" w:type="dxa"/>
                  <w:tcBorders>
                    <w:top w:val="nil"/>
                    <w:left w:val="nil"/>
                    <w:bottom w:val="single" w:sz="4" w:space="0" w:color="auto"/>
                    <w:right w:val="single" w:sz="4" w:space="0" w:color="auto"/>
                  </w:tcBorders>
                  <w:shd w:val="clear" w:color="auto" w:fill="auto"/>
                  <w:vAlign w:val="center"/>
                  <w:hideMark/>
                </w:tcPr>
                <w:p w14:paraId="53B9C952"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193,800</w:t>
                  </w:r>
                </w:p>
              </w:tc>
              <w:tc>
                <w:tcPr>
                  <w:tcW w:w="846" w:type="dxa"/>
                  <w:tcBorders>
                    <w:top w:val="nil"/>
                    <w:left w:val="nil"/>
                    <w:bottom w:val="single" w:sz="4" w:space="0" w:color="auto"/>
                    <w:right w:val="single" w:sz="4" w:space="0" w:color="auto"/>
                  </w:tcBorders>
                  <w:shd w:val="clear" w:color="auto" w:fill="auto"/>
                  <w:vAlign w:val="center"/>
                  <w:hideMark/>
                </w:tcPr>
                <w:p w14:paraId="196D2423"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1,964</w:t>
                  </w:r>
                </w:p>
              </w:tc>
              <w:tc>
                <w:tcPr>
                  <w:tcW w:w="1046" w:type="dxa"/>
                  <w:tcBorders>
                    <w:top w:val="nil"/>
                    <w:left w:val="nil"/>
                    <w:bottom w:val="single" w:sz="4" w:space="0" w:color="auto"/>
                    <w:right w:val="single" w:sz="4" w:space="0" w:color="auto"/>
                  </w:tcBorders>
                  <w:shd w:val="clear" w:color="auto" w:fill="auto"/>
                  <w:vAlign w:val="center"/>
                  <w:hideMark/>
                </w:tcPr>
                <w:p w14:paraId="0B1001EC"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1,762</w:t>
                  </w:r>
                </w:p>
              </w:tc>
              <w:tc>
                <w:tcPr>
                  <w:tcW w:w="936" w:type="dxa"/>
                  <w:tcBorders>
                    <w:top w:val="nil"/>
                    <w:left w:val="nil"/>
                    <w:bottom w:val="single" w:sz="4" w:space="0" w:color="auto"/>
                    <w:right w:val="single" w:sz="4" w:space="0" w:color="auto"/>
                  </w:tcBorders>
                  <w:shd w:val="clear" w:color="auto" w:fill="auto"/>
                  <w:vAlign w:val="center"/>
                  <w:hideMark/>
                </w:tcPr>
                <w:p w14:paraId="00267ED9"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1,119,210</w:t>
                  </w:r>
                </w:p>
              </w:tc>
              <w:tc>
                <w:tcPr>
                  <w:tcW w:w="613" w:type="dxa"/>
                  <w:tcBorders>
                    <w:top w:val="nil"/>
                    <w:left w:val="nil"/>
                    <w:bottom w:val="single" w:sz="4" w:space="0" w:color="auto"/>
                    <w:right w:val="single" w:sz="4" w:space="0" w:color="auto"/>
                  </w:tcBorders>
                  <w:shd w:val="clear" w:color="auto" w:fill="auto"/>
                  <w:vAlign w:val="center"/>
                  <w:hideMark/>
                </w:tcPr>
                <w:p w14:paraId="5FDD0294" w14:textId="77777777" w:rsidR="00447B3D" w:rsidRPr="00DD57E3" w:rsidRDefault="00447B3D"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149,799</w:t>
                  </w:r>
                </w:p>
              </w:tc>
            </w:tr>
            <w:tr w:rsidR="00447B3D" w:rsidRPr="00DD57E3" w14:paraId="3B5CA196" w14:textId="77777777" w:rsidTr="00D35A0D">
              <w:trPr>
                <w:trHeight w:val="20"/>
                <w:jc w:val="center"/>
              </w:trPr>
              <w:tc>
                <w:tcPr>
                  <w:tcW w:w="886" w:type="dxa"/>
                  <w:tcBorders>
                    <w:top w:val="nil"/>
                    <w:left w:val="single" w:sz="4" w:space="0" w:color="auto"/>
                    <w:bottom w:val="single" w:sz="4" w:space="0" w:color="auto"/>
                    <w:right w:val="single" w:sz="4" w:space="0" w:color="auto"/>
                  </w:tcBorders>
                  <w:shd w:val="clear" w:color="000000" w:fill="D9D9D9"/>
                  <w:vAlign w:val="center"/>
                  <w:hideMark/>
                </w:tcPr>
                <w:p w14:paraId="17B72E0F" w14:textId="77777777" w:rsidR="00447B3D" w:rsidRPr="00DD57E3" w:rsidRDefault="00447B3D" w:rsidP="00447B3D">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Total</w:t>
                  </w:r>
                </w:p>
              </w:tc>
              <w:tc>
                <w:tcPr>
                  <w:tcW w:w="3784" w:type="dxa"/>
                  <w:gridSpan w:val="4"/>
                  <w:tcBorders>
                    <w:top w:val="single" w:sz="4" w:space="0" w:color="auto"/>
                    <w:left w:val="nil"/>
                    <w:bottom w:val="single" w:sz="4" w:space="0" w:color="auto"/>
                    <w:right w:val="single" w:sz="4" w:space="0" w:color="000000"/>
                  </w:tcBorders>
                  <w:shd w:val="clear" w:color="auto" w:fill="auto"/>
                  <w:vAlign w:val="center"/>
                  <w:hideMark/>
                </w:tcPr>
                <w:p w14:paraId="696EADDE" w14:textId="77777777" w:rsidR="00447B3D" w:rsidRPr="00DD57E3" w:rsidRDefault="00447B3D" w:rsidP="00447B3D">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 </w:t>
                  </w:r>
                </w:p>
              </w:tc>
              <w:tc>
                <w:tcPr>
                  <w:tcW w:w="936" w:type="dxa"/>
                  <w:tcBorders>
                    <w:top w:val="nil"/>
                    <w:left w:val="nil"/>
                    <w:bottom w:val="single" w:sz="4" w:space="0" w:color="auto"/>
                    <w:right w:val="single" w:sz="4" w:space="0" w:color="auto"/>
                  </w:tcBorders>
                  <w:shd w:val="clear" w:color="auto" w:fill="auto"/>
                  <w:vAlign w:val="center"/>
                  <w:hideMark/>
                </w:tcPr>
                <w:p w14:paraId="5611153C" w14:textId="77777777" w:rsidR="00447B3D" w:rsidRPr="00DD57E3" w:rsidRDefault="00447B3D" w:rsidP="00447B3D">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1,850,339</w:t>
                  </w:r>
                </w:p>
              </w:tc>
              <w:tc>
                <w:tcPr>
                  <w:tcW w:w="1046" w:type="dxa"/>
                  <w:tcBorders>
                    <w:top w:val="nil"/>
                    <w:left w:val="nil"/>
                    <w:bottom w:val="single" w:sz="4" w:space="0" w:color="auto"/>
                    <w:right w:val="single" w:sz="4" w:space="0" w:color="auto"/>
                  </w:tcBorders>
                  <w:shd w:val="clear" w:color="auto" w:fill="auto"/>
                  <w:vAlign w:val="center"/>
                  <w:hideMark/>
                </w:tcPr>
                <w:p w14:paraId="686874BD" w14:textId="77777777" w:rsidR="00447B3D" w:rsidRPr="00DD57E3" w:rsidRDefault="00447B3D" w:rsidP="00447B3D">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193,800</w:t>
                  </w:r>
                </w:p>
              </w:tc>
              <w:tc>
                <w:tcPr>
                  <w:tcW w:w="1892" w:type="dxa"/>
                  <w:gridSpan w:val="2"/>
                  <w:tcBorders>
                    <w:top w:val="single" w:sz="4" w:space="0" w:color="auto"/>
                    <w:left w:val="nil"/>
                    <w:bottom w:val="single" w:sz="4" w:space="0" w:color="auto"/>
                    <w:right w:val="single" w:sz="4" w:space="0" w:color="000000"/>
                  </w:tcBorders>
                  <w:shd w:val="clear" w:color="auto" w:fill="auto"/>
                  <w:vAlign w:val="center"/>
                  <w:hideMark/>
                </w:tcPr>
                <w:p w14:paraId="0A535D9D" w14:textId="77777777" w:rsidR="00447B3D" w:rsidRPr="00DD57E3" w:rsidRDefault="00447B3D" w:rsidP="00447B3D">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 </w:t>
                  </w:r>
                </w:p>
              </w:tc>
              <w:tc>
                <w:tcPr>
                  <w:tcW w:w="936" w:type="dxa"/>
                  <w:tcBorders>
                    <w:top w:val="nil"/>
                    <w:left w:val="nil"/>
                    <w:bottom w:val="single" w:sz="4" w:space="0" w:color="auto"/>
                    <w:right w:val="single" w:sz="4" w:space="0" w:color="auto"/>
                  </w:tcBorders>
                  <w:shd w:val="clear" w:color="auto" w:fill="auto"/>
                  <w:vAlign w:val="center"/>
                  <w:hideMark/>
                </w:tcPr>
                <w:p w14:paraId="3B3B198A" w14:textId="77777777" w:rsidR="00447B3D" w:rsidRPr="00DD57E3" w:rsidRDefault="00447B3D" w:rsidP="00447B3D">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4,507,893</w:t>
                  </w:r>
                </w:p>
              </w:tc>
              <w:tc>
                <w:tcPr>
                  <w:tcW w:w="613" w:type="dxa"/>
                  <w:tcBorders>
                    <w:top w:val="nil"/>
                    <w:left w:val="nil"/>
                    <w:bottom w:val="single" w:sz="4" w:space="0" w:color="auto"/>
                    <w:right w:val="single" w:sz="4" w:space="0" w:color="auto"/>
                  </w:tcBorders>
                  <w:shd w:val="clear" w:color="auto" w:fill="auto"/>
                  <w:vAlign w:val="center"/>
                  <w:hideMark/>
                </w:tcPr>
                <w:p w14:paraId="654FA43D" w14:textId="77777777" w:rsidR="00447B3D" w:rsidRPr="00DD57E3" w:rsidRDefault="00447B3D" w:rsidP="00447B3D">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149,799</w:t>
                  </w:r>
                </w:p>
              </w:tc>
            </w:tr>
            <w:tr w:rsidR="00C108FB" w:rsidRPr="00DD57E3" w14:paraId="558DDA25" w14:textId="77777777" w:rsidTr="00D35A0D">
              <w:trPr>
                <w:trHeight w:val="20"/>
                <w:jc w:val="center"/>
              </w:trPr>
              <w:tc>
                <w:tcPr>
                  <w:tcW w:w="9480"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14:paraId="6BAFC0C5" w14:textId="77777777" w:rsidR="00447B3D" w:rsidRPr="00DD57E3" w:rsidRDefault="00447B3D" w:rsidP="00447B3D">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Grand Total (CAPEX+OPEX - 2026-2030)</w:t>
                  </w:r>
                </w:p>
              </w:tc>
              <w:tc>
                <w:tcPr>
                  <w:tcW w:w="613" w:type="dxa"/>
                  <w:tcBorders>
                    <w:top w:val="nil"/>
                    <w:left w:val="nil"/>
                    <w:bottom w:val="single" w:sz="4" w:space="0" w:color="auto"/>
                    <w:right w:val="single" w:sz="4" w:space="0" w:color="auto"/>
                  </w:tcBorders>
                  <w:shd w:val="clear" w:color="auto" w:fill="auto"/>
                  <w:vAlign w:val="center"/>
                  <w:hideMark/>
                </w:tcPr>
                <w:p w14:paraId="50833822" w14:textId="77777777" w:rsidR="00447B3D" w:rsidRPr="00DD57E3" w:rsidRDefault="00447B3D" w:rsidP="00447B3D">
                  <w:pPr>
                    <w:spacing w:after="0" w:line="240" w:lineRule="auto"/>
                    <w:jc w:val="right"/>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6,701,831</w:t>
                  </w:r>
                </w:p>
              </w:tc>
            </w:tr>
          </w:tbl>
          <w:p w14:paraId="62E13FE8" w14:textId="77777777" w:rsidR="00447B3D" w:rsidRPr="00DD57E3" w:rsidRDefault="00447B3D" w:rsidP="00447B3D">
            <w:pPr>
              <w:spacing w:before="100" w:after="100" w:line="259" w:lineRule="auto"/>
              <w:jc w:val="both"/>
              <w:rPr>
                <w:rFonts w:ascii="Times New Roman" w:hAnsi="Times New Roman" w:cs="Times New Roman"/>
                <w:bCs/>
                <w:iCs/>
                <w:sz w:val="24"/>
                <w:szCs w:val="24"/>
                <w:lang w:val="ro-MD"/>
              </w:rPr>
            </w:pPr>
          </w:p>
          <w:p w14:paraId="66C9A774" w14:textId="77777777" w:rsidR="00B06CD1" w:rsidRPr="00DD57E3" w:rsidRDefault="00B06CD1" w:rsidP="00447B3D">
            <w:pPr>
              <w:spacing w:before="100" w:after="100" w:line="259" w:lineRule="auto"/>
              <w:jc w:val="both"/>
              <w:rPr>
                <w:rFonts w:ascii="Times New Roman" w:hAnsi="Times New Roman" w:cs="Times New Roman"/>
                <w:bCs/>
                <w:iCs/>
                <w:sz w:val="24"/>
                <w:szCs w:val="24"/>
                <w:lang w:val="ro-MD"/>
              </w:rPr>
            </w:pPr>
          </w:p>
          <w:p w14:paraId="73EAD0D3" w14:textId="7B09C1A9" w:rsidR="006F6753" w:rsidRPr="00DD57E3" w:rsidRDefault="006F6753" w:rsidP="006F6753">
            <w:pPr>
              <w:spacing w:before="100" w:after="100" w:line="259" w:lineRule="auto"/>
              <w:jc w:val="right"/>
              <w:rPr>
                <w:rFonts w:ascii="Times New Roman" w:hAnsi="Times New Roman" w:cs="Times New Roman"/>
                <w:bCs/>
                <w:iCs/>
                <w:sz w:val="24"/>
                <w:szCs w:val="24"/>
                <w:lang w:val="ro-MD"/>
              </w:rPr>
            </w:pPr>
            <w:r w:rsidRPr="00DD57E3">
              <w:rPr>
                <w:rFonts w:ascii="Times New Roman" w:eastAsiaTheme="minorEastAsia" w:hAnsi="Times New Roman" w:cs="Times New Roman"/>
                <w:i/>
                <w:sz w:val="24"/>
                <w:szCs w:val="24"/>
                <w:lang w:val="ro-MD" w:eastAsia="ar-SA"/>
              </w:rPr>
              <w:t>Tabel 8. Impactul financiar (scenariu moderat)</w:t>
            </w:r>
          </w:p>
          <w:tbl>
            <w:tblPr>
              <w:tblW w:w="10437" w:type="dxa"/>
              <w:jc w:val="center"/>
              <w:tblCellMar>
                <w:left w:w="57" w:type="dxa"/>
                <w:right w:w="57" w:type="dxa"/>
              </w:tblCellMar>
              <w:tblLook w:val="04A0" w:firstRow="1" w:lastRow="0" w:firstColumn="1" w:lastColumn="0" w:noHBand="0" w:noVBand="1"/>
            </w:tblPr>
            <w:tblGrid>
              <w:gridCol w:w="1434"/>
              <w:gridCol w:w="744"/>
              <w:gridCol w:w="944"/>
              <w:gridCol w:w="744"/>
              <w:gridCol w:w="944"/>
              <w:gridCol w:w="834"/>
              <w:gridCol w:w="944"/>
              <w:gridCol w:w="744"/>
              <w:gridCol w:w="944"/>
              <w:gridCol w:w="834"/>
              <w:gridCol w:w="1327"/>
            </w:tblGrid>
            <w:tr w:rsidR="00C108FB" w:rsidRPr="00DD57E3" w14:paraId="30A47870" w14:textId="77777777" w:rsidTr="00DC2761">
              <w:trPr>
                <w:cantSplit/>
                <w:trHeight w:val="20"/>
                <w:jc w:val="center"/>
              </w:trPr>
              <w:tc>
                <w:tcPr>
                  <w:tcW w:w="1043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5193EC" w14:textId="77777777" w:rsidR="00C108FB" w:rsidRPr="00DD57E3" w:rsidRDefault="00C108FB" w:rsidP="00C108FB">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Scenariu moderat</w:t>
                  </w:r>
                </w:p>
              </w:tc>
            </w:tr>
            <w:tr w:rsidR="00B21289" w:rsidRPr="00DD57E3" w14:paraId="2C4874DA" w14:textId="77777777" w:rsidTr="00DC2761">
              <w:trPr>
                <w:cantSplit/>
                <w:trHeight w:val="20"/>
                <w:jc w:val="center"/>
              </w:trPr>
              <w:tc>
                <w:tcPr>
                  <w:tcW w:w="1434"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AD20E7" w14:textId="77777777" w:rsidR="00C108FB" w:rsidRPr="00DD57E3" w:rsidRDefault="00C108FB" w:rsidP="00C108FB">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Categorii de vehicule</w:t>
                  </w:r>
                </w:p>
              </w:tc>
              <w:tc>
                <w:tcPr>
                  <w:tcW w:w="168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D40AF1" w14:textId="77777777" w:rsidR="00C108FB" w:rsidRPr="00DD57E3" w:rsidRDefault="00C108FB" w:rsidP="00C108FB">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Necesar de înnoit/achiziționat</w:t>
                  </w:r>
                </w:p>
              </w:tc>
              <w:tc>
                <w:tcPr>
                  <w:tcW w:w="168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B4B543" w14:textId="77777777" w:rsidR="00C108FB" w:rsidRPr="00DD57E3" w:rsidRDefault="00C108FB" w:rsidP="00C108FB">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Valoarea actuală medie a 1 vehicul, mii MDL</w:t>
                  </w:r>
                </w:p>
              </w:tc>
              <w:tc>
                <w:tcPr>
                  <w:tcW w:w="177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89AB2F7" w14:textId="77777777" w:rsidR="00C108FB" w:rsidRPr="00DD57E3" w:rsidRDefault="00C108FB" w:rsidP="00C108FB">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Cost CAPEX, mii MDL</w:t>
                  </w:r>
                </w:p>
              </w:tc>
              <w:tc>
                <w:tcPr>
                  <w:tcW w:w="168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D08FA9" w14:textId="77777777" w:rsidR="00C108FB" w:rsidRPr="00DD57E3" w:rsidRDefault="00C108FB" w:rsidP="00C108FB">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Costurile operaționale anuale per 1 vehicul, mii MDL/an</w:t>
                  </w:r>
                </w:p>
              </w:tc>
              <w:tc>
                <w:tcPr>
                  <w:tcW w:w="2161"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242FBE" w14:textId="77777777" w:rsidR="00C108FB" w:rsidRPr="00DD57E3" w:rsidRDefault="00C108FB" w:rsidP="00C108FB">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Cost OPEX (2026-2030), mii MDL</w:t>
                  </w:r>
                </w:p>
              </w:tc>
            </w:tr>
            <w:tr w:rsidR="00B9522F" w:rsidRPr="00DD57E3" w14:paraId="2421C490" w14:textId="77777777" w:rsidTr="00DC2761">
              <w:trPr>
                <w:cantSplit/>
                <w:trHeight w:val="20"/>
                <w:jc w:val="center"/>
              </w:trPr>
              <w:tc>
                <w:tcPr>
                  <w:tcW w:w="143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B78717" w14:textId="77777777" w:rsidR="00C108FB" w:rsidRPr="00DD57E3" w:rsidRDefault="00C108FB" w:rsidP="00C108FB">
                  <w:pPr>
                    <w:spacing w:after="0" w:line="240" w:lineRule="auto"/>
                    <w:rPr>
                      <w:rFonts w:ascii="Times New Roman" w:eastAsia="Times New Roman" w:hAnsi="Times New Roman" w:cs="Times New Roman"/>
                      <w:color w:val="000000"/>
                      <w:sz w:val="18"/>
                      <w:szCs w:val="18"/>
                      <w:lang w:val="ro-MD"/>
                    </w:rPr>
                  </w:pPr>
                </w:p>
              </w:tc>
              <w:tc>
                <w:tcPr>
                  <w:tcW w:w="744" w:type="dxa"/>
                  <w:tcBorders>
                    <w:top w:val="nil"/>
                    <w:left w:val="nil"/>
                    <w:bottom w:val="single" w:sz="4" w:space="0" w:color="auto"/>
                    <w:right w:val="single" w:sz="4" w:space="0" w:color="auto"/>
                  </w:tcBorders>
                  <w:shd w:val="clear" w:color="auto" w:fill="F2F2F2" w:themeFill="background1" w:themeFillShade="F2"/>
                  <w:vAlign w:val="center"/>
                  <w:hideMark/>
                </w:tcPr>
                <w:p w14:paraId="05C66A88" w14:textId="77777777" w:rsidR="00C108FB" w:rsidRPr="00DD57E3" w:rsidRDefault="00C108FB" w:rsidP="00C108FB">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944" w:type="dxa"/>
                  <w:tcBorders>
                    <w:top w:val="nil"/>
                    <w:left w:val="nil"/>
                    <w:bottom w:val="single" w:sz="4" w:space="0" w:color="auto"/>
                    <w:right w:val="single" w:sz="4" w:space="0" w:color="auto"/>
                  </w:tcBorders>
                  <w:shd w:val="clear" w:color="auto" w:fill="F2F2F2" w:themeFill="background1" w:themeFillShade="F2"/>
                  <w:vAlign w:val="center"/>
                  <w:hideMark/>
                </w:tcPr>
                <w:p w14:paraId="27F1898C" w14:textId="77777777" w:rsidR="00C108FB" w:rsidRPr="00DD57E3" w:rsidRDefault="00C108FB" w:rsidP="00C108FB">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744" w:type="dxa"/>
                  <w:tcBorders>
                    <w:top w:val="nil"/>
                    <w:left w:val="nil"/>
                    <w:bottom w:val="single" w:sz="4" w:space="0" w:color="auto"/>
                    <w:right w:val="single" w:sz="4" w:space="0" w:color="auto"/>
                  </w:tcBorders>
                  <w:shd w:val="clear" w:color="auto" w:fill="F2F2F2" w:themeFill="background1" w:themeFillShade="F2"/>
                  <w:vAlign w:val="center"/>
                  <w:hideMark/>
                </w:tcPr>
                <w:p w14:paraId="783684CA" w14:textId="77777777" w:rsidR="00C108FB" w:rsidRPr="00DD57E3" w:rsidRDefault="00C108FB" w:rsidP="00C108FB">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944" w:type="dxa"/>
                  <w:tcBorders>
                    <w:top w:val="nil"/>
                    <w:left w:val="nil"/>
                    <w:bottom w:val="single" w:sz="4" w:space="0" w:color="auto"/>
                    <w:right w:val="single" w:sz="4" w:space="0" w:color="auto"/>
                  </w:tcBorders>
                  <w:shd w:val="clear" w:color="auto" w:fill="F2F2F2" w:themeFill="background1" w:themeFillShade="F2"/>
                  <w:vAlign w:val="center"/>
                  <w:hideMark/>
                </w:tcPr>
                <w:p w14:paraId="5E913DC8" w14:textId="77777777" w:rsidR="00C108FB" w:rsidRPr="00DD57E3" w:rsidRDefault="00C108FB" w:rsidP="00C108FB">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834" w:type="dxa"/>
                  <w:tcBorders>
                    <w:top w:val="nil"/>
                    <w:left w:val="nil"/>
                    <w:bottom w:val="single" w:sz="4" w:space="0" w:color="auto"/>
                    <w:right w:val="single" w:sz="4" w:space="0" w:color="auto"/>
                  </w:tcBorders>
                  <w:shd w:val="clear" w:color="auto" w:fill="F2F2F2" w:themeFill="background1" w:themeFillShade="F2"/>
                  <w:vAlign w:val="center"/>
                  <w:hideMark/>
                </w:tcPr>
                <w:p w14:paraId="04FBFA00" w14:textId="77777777" w:rsidR="00C108FB" w:rsidRPr="00DD57E3" w:rsidRDefault="00C108FB" w:rsidP="00C108FB">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944" w:type="dxa"/>
                  <w:tcBorders>
                    <w:top w:val="nil"/>
                    <w:left w:val="nil"/>
                    <w:bottom w:val="single" w:sz="4" w:space="0" w:color="auto"/>
                    <w:right w:val="single" w:sz="4" w:space="0" w:color="auto"/>
                  </w:tcBorders>
                  <w:shd w:val="clear" w:color="auto" w:fill="F2F2F2" w:themeFill="background1" w:themeFillShade="F2"/>
                  <w:vAlign w:val="center"/>
                  <w:hideMark/>
                </w:tcPr>
                <w:p w14:paraId="51B28B65" w14:textId="77777777" w:rsidR="00C108FB" w:rsidRPr="00DD57E3" w:rsidRDefault="00C108FB" w:rsidP="00C108FB">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744" w:type="dxa"/>
                  <w:tcBorders>
                    <w:top w:val="nil"/>
                    <w:left w:val="nil"/>
                    <w:bottom w:val="single" w:sz="4" w:space="0" w:color="auto"/>
                    <w:right w:val="single" w:sz="4" w:space="0" w:color="auto"/>
                  </w:tcBorders>
                  <w:shd w:val="clear" w:color="auto" w:fill="F2F2F2" w:themeFill="background1" w:themeFillShade="F2"/>
                  <w:vAlign w:val="center"/>
                  <w:hideMark/>
                </w:tcPr>
                <w:p w14:paraId="499A80C6" w14:textId="77777777" w:rsidR="00C108FB" w:rsidRPr="00DD57E3" w:rsidRDefault="00C108FB" w:rsidP="00C108FB">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944" w:type="dxa"/>
                  <w:tcBorders>
                    <w:top w:val="nil"/>
                    <w:left w:val="nil"/>
                    <w:bottom w:val="single" w:sz="4" w:space="0" w:color="auto"/>
                    <w:right w:val="single" w:sz="4" w:space="0" w:color="auto"/>
                  </w:tcBorders>
                  <w:shd w:val="clear" w:color="auto" w:fill="F2F2F2" w:themeFill="background1" w:themeFillShade="F2"/>
                  <w:vAlign w:val="center"/>
                  <w:hideMark/>
                </w:tcPr>
                <w:p w14:paraId="474B1906" w14:textId="77777777" w:rsidR="00C108FB" w:rsidRPr="00DD57E3" w:rsidRDefault="00C108FB" w:rsidP="00C108FB">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834" w:type="dxa"/>
                  <w:tcBorders>
                    <w:top w:val="nil"/>
                    <w:left w:val="nil"/>
                    <w:bottom w:val="single" w:sz="4" w:space="0" w:color="auto"/>
                    <w:right w:val="single" w:sz="4" w:space="0" w:color="auto"/>
                  </w:tcBorders>
                  <w:shd w:val="clear" w:color="auto" w:fill="F2F2F2" w:themeFill="background1" w:themeFillShade="F2"/>
                  <w:vAlign w:val="center"/>
                  <w:hideMark/>
                </w:tcPr>
                <w:p w14:paraId="270BE701" w14:textId="77777777" w:rsidR="00C108FB" w:rsidRPr="00DD57E3" w:rsidRDefault="00C108FB" w:rsidP="00C108FB">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1327" w:type="dxa"/>
                  <w:tcBorders>
                    <w:top w:val="nil"/>
                    <w:left w:val="nil"/>
                    <w:bottom w:val="single" w:sz="4" w:space="0" w:color="auto"/>
                    <w:right w:val="single" w:sz="4" w:space="0" w:color="auto"/>
                  </w:tcBorders>
                  <w:shd w:val="clear" w:color="auto" w:fill="F2F2F2" w:themeFill="background1" w:themeFillShade="F2"/>
                  <w:vAlign w:val="center"/>
                  <w:hideMark/>
                </w:tcPr>
                <w:p w14:paraId="0EA9D374" w14:textId="77777777" w:rsidR="00C108FB" w:rsidRPr="00DD57E3" w:rsidRDefault="00C108FB" w:rsidP="00C108FB">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r>
            <w:tr w:rsidR="00C108FB" w:rsidRPr="00DD57E3" w14:paraId="406ABFE4" w14:textId="77777777" w:rsidTr="00DC2761">
              <w:trPr>
                <w:cantSplit/>
                <w:trHeight w:val="20"/>
                <w:jc w:val="center"/>
              </w:trPr>
              <w:tc>
                <w:tcPr>
                  <w:tcW w:w="1434" w:type="dxa"/>
                  <w:tcBorders>
                    <w:top w:val="nil"/>
                    <w:left w:val="single" w:sz="4" w:space="0" w:color="auto"/>
                    <w:bottom w:val="single" w:sz="4" w:space="0" w:color="auto"/>
                    <w:right w:val="single" w:sz="4" w:space="0" w:color="auto"/>
                  </w:tcBorders>
                  <w:shd w:val="clear" w:color="000000" w:fill="D9D9D9"/>
                  <w:vAlign w:val="center"/>
                  <w:hideMark/>
                </w:tcPr>
                <w:p w14:paraId="3E7E7D5D" w14:textId="2E39314F" w:rsidR="00C108FB" w:rsidRPr="00DD57E3" w:rsidRDefault="00C108FB" w:rsidP="00C108FB">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V</w:t>
                  </w:r>
                  <w:r w:rsidR="00355788" w:rsidRPr="00DD57E3">
                    <w:rPr>
                      <w:rFonts w:ascii="Times New Roman" w:eastAsia="Times New Roman" w:hAnsi="Times New Roman" w:cs="Times New Roman"/>
                      <w:b/>
                      <w:color w:val="000000"/>
                      <w:sz w:val="18"/>
                      <w:szCs w:val="18"/>
                      <w:lang w:val="ro-MD"/>
                    </w:rPr>
                    <w:t>U</w:t>
                  </w:r>
                  <w:r w:rsidRPr="00DD57E3">
                    <w:rPr>
                      <w:rFonts w:ascii="Times New Roman" w:eastAsia="Times New Roman" w:hAnsi="Times New Roman" w:cs="Times New Roman"/>
                      <w:b/>
                      <w:color w:val="000000"/>
                      <w:sz w:val="18"/>
                      <w:szCs w:val="18"/>
                      <w:lang w:val="ro-MD"/>
                    </w:rPr>
                    <w:t xml:space="preserve"> (M1 si M2 si N1)</w:t>
                  </w:r>
                </w:p>
              </w:tc>
              <w:tc>
                <w:tcPr>
                  <w:tcW w:w="744" w:type="dxa"/>
                  <w:tcBorders>
                    <w:top w:val="nil"/>
                    <w:left w:val="nil"/>
                    <w:bottom w:val="single" w:sz="4" w:space="0" w:color="auto"/>
                    <w:right w:val="single" w:sz="4" w:space="0" w:color="auto"/>
                  </w:tcBorders>
                  <w:shd w:val="clear" w:color="auto" w:fill="auto"/>
                  <w:vAlign w:val="center"/>
                  <w:hideMark/>
                </w:tcPr>
                <w:p w14:paraId="159C2357"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1326</w:t>
                  </w:r>
                </w:p>
              </w:tc>
              <w:tc>
                <w:tcPr>
                  <w:tcW w:w="944" w:type="dxa"/>
                  <w:tcBorders>
                    <w:top w:val="nil"/>
                    <w:left w:val="nil"/>
                    <w:bottom w:val="single" w:sz="4" w:space="0" w:color="auto"/>
                    <w:right w:val="single" w:sz="4" w:space="0" w:color="auto"/>
                  </w:tcBorders>
                  <w:shd w:val="clear" w:color="auto" w:fill="auto"/>
                  <w:vAlign w:val="center"/>
                  <w:hideMark/>
                </w:tcPr>
                <w:p w14:paraId="2204902E"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207</w:t>
                  </w:r>
                </w:p>
              </w:tc>
              <w:tc>
                <w:tcPr>
                  <w:tcW w:w="744" w:type="dxa"/>
                  <w:tcBorders>
                    <w:top w:val="nil"/>
                    <w:left w:val="nil"/>
                    <w:bottom w:val="single" w:sz="4" w:space="0" w:color="auto"/>
                    <w:right w:val="single" w:sz="4" w:space="0" w:color="auto"/>
                  </w:tcBorders>
                  <w:shd w:val="clear" w:color="auto" w:fill="auto"/>
                  <w:vAlign w:val="center"/>
                  <w:hideMark/>
                </w:tcPr>
                <w:p w14:paraId="241C0ACE"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456</w:t>
                  </w:r>
                </w:p>
              </w:tc>
              <w:tc>
                <w:tcPr>
                  <w:tcW w:w="944" w:type="dxa"/>
                  <w:tcBorders>
                    <w:top w:val="nil"/>
                    <w:left w:val="nil"/>
                    <w:bottom w:val="single" w:sz="4" w:space="0" w:color="auto"/>
                    <w:right w:val="single" w:sz="4" w:space="0" w:color="auto"/>
                  </w:tcBorders>
                  <w:shd w:val="clear" w:color="auto" w:fill="auto"/>
                  <w:vAlign w:val="center"/>
                  <w:hideMark/>
                </w:tcPr>
                <w:p w14:paraId="62D74F5C"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725</w:t>
                  </w:r>
                </w:p>
              </w:tc>
              <w:tc>
                <w:tcPr>
                  <w:tcW w:w="834" w:type="dxa"/>
                  <w:tcBorders>
                    <w:top w:val="nil"/>
                    <w:left w:val="nil"/>
                    <w:bottom w:val="single" w:sz="4" w:space="0" w:color="auto"/>
                    <w:right w:val="single" w:sz="4" w:space="0" w:color="auto"/>
                  </w:tcBorders>
                  <w:shd w:val="clear" w:color="auto" w:fill="auto"/>
                  <w:vAlign w:val="center"/>
                  <w:hideMark/>
                </w:tcPr>
                <w:p w14:paraId="790C640B"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604,656</w:t>
                  </w:r>
                </w:p>
              </w:tc>
              <w:tc>
                <w:tcPr>
                  <w:tcW w:w="944" w:type="dxa"/>
                  <w:tcBorders>
                    <w:top w:val="nil"/>
                    <w:left w:val="nil"/>
                    <w:bottom w:val="single" w:sz="4" w:space="0" w:color="auto"/>
                    <w:right w:val="single" w:sz="4" w:space="0" w:color="auto"/>
                  </w:tcBorders>
                  <w:shd w:val="clear" w:color="auto" w:fill="auto"/>
                  <w:vAlign w:val="center"/>
                  <w:hideMark/>
                </w:tcPr>
                <w:p w14:paraId="6B670237"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150,075</w:t>
                  </w:r>
                </w:p>
              </w:tc>
              <w:tc>
                <w:tcPr>
                  <w:tcW w:w="744" w:type="dxa"/>
                  <w:tcBorders>
                    <w:top w:val="nil"/>
                    <w:left w:val="nil"/>
                    <w:bottom w:val="single" w:sz="4" w:space="0" w:color="auto"/>
                    <w:right w:val="single" w:sz="4" w:space="0" w:color="auto"/>
                  </w:tcBorders>
                  <w:shd w:val="clear" w:color="auto" w:fill="auto"/>
                  <w:vAlign w:val="center"/>
                  <w:hideMark/>
                </w:tcPr>
                <w:p w14:paraId="69CCDA82"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327</w:t>
                  </w:r>
                </w:p>
              </w:tc>
              <w:tc>
                <w:tcPr>
                  <w:tcW w:w="944" w:type="dxa"/>
                  <w:tcBorders>
                    <w:top w:val="nil"/>
                    <w:left w:val="nil"/>
                    <w:bottom w:val="single" w:sz="4" w:space="0" w:color="auto"/>
                    <w:right w:val="single" w:sz="4" w:space="0" w:color="auto"/>
                  </w:tcBorders>
                  <w:shd w:val="clear" w:color="auto" w:fill="auto"/>
                  <w:vAlign w:val="center"/>
                  <w:hideMark/>
                </w:tcPr>
                <w:p w14:paraId="72E7A808"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281</w:t>
                  </w:r>
                </w:p>
              </w:tc>
              <w:tc>
                <w:tcPr>
                  <w:tcW w:w="834" w:type="dxa"/>
                  <w:tcBorders>
                    <w:top w:val="nil"/>
                    <w:left w:val="nil"/>
                    <w:bottom w:val="single" w:sz="4" w:space="0" w:color="auto"/>
                    <w:right w:val="single" w:sz="4" w:space="0" w:color="auto"/>
                  </w:tcBorders>
                  <w:shd w:val="clear" w:color="auto" w:fill="auto"/>
                  <w:vAlign w:val="center"/>
                  <w:hideMark/>
                </w:tcPr>
                <w:p w14:paraId="3C262FF2"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2,166,154</w:t>
                  </w:r>
                </w:p>
              </w:tc>
              <w:tc>
                <w:tcPr>
                  <w:tcW w:w="1327" w:type="dxa"/>
                  <w:tcBorders>
                    <w:top w:val="nil"/>
                    <w:left w:val="nil"/>
                    <w:bottom w:val="single" w:sz="4" w:space="0" w:color="auto"/>
                    <w:right w:val="single" w:sz="4" w:space="0" w:color="auto"/>
                  </w:tcBorders>
                  <w:shd w:val="clear" w:color="auto" w:fill="auto"/>
                  <w:vAlign w:val="center"/>
                  <w:hideMark/>
                </w:tcPr>
                <w:p w14:paraId="200A2644"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290,545</w:t>
                  </w:r>
                </w:p>
              </w:tc>
            </w:tr>
            <w:tr w:rsidR="00C108FB" w:rsidRPr="00DD57E3" w14:paraId="4954C282" w14:textId="77777777" w:rsidTr="00DC2761">
              <w:trPr>
                <w:cantSplit/>
                <w:trHeight w:val="20"/>
                <w:jc w:val="center"/>
              </w:trPr>
              <w:tc>
                <w:tcPr>
                  <w:tcW w:w="1434" w:type="dxa"/>
                  <w:tcBorders>
                    <w:top w:val="nil"/>
                    <w:left w:val="single" w:sz="4" w:space="0" w:color="auto"/>
                    <w:bottom w:val="single" w:sz="4" w:space="0" w:color="auto"/>
                    <w:right w:val="single" w:sz="4" w:space="0" w:color="auto"/>
                  </w:tcBorders>
                  <w:shd w:val="clear" w:color="000000" w:fill="D9D9D9"/>
                  <w:vAlign w:val="center"/>
                  <w:hideMark/>
                </w:tcPr>
                <w:p w14:paraId="5A5068B7" w14:textId="63257718" w:rsidR="00C108FB" w:rsidRPr="00DD57E3" w:rsidRDefault="00C108FB" w:rsidP="00C108FB">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V</w:t>
                  </w:r>
                  <w:r w:rsidR="00355788" w:rsidRPr="00DD57E3">
                    <w:rPr>
                      <w:rFonts w:ascii="Times New Roman" w:eastAsia="Times New Roman" w:hAnsi="Times New Roman" w:cs="Times New Roman"/>
                      <w:b/>
                      <w:color w:val="000000"/>
                      <w:sz w:val="18"/>
                      <w:szCs w:val="18"/>
                      <w:lang w:val="ro-MD"/>
                    </w:rPr>
                    <w:t>G</w:t>
                  </w:r>
                  <w:r w:rsidRPr="00DD57E3">
                    <w:rPr>
                      <w:rFonts w:ascii="Times New Roman" w:eastAsia="Times New Roman" w:hAnsi="Times New Roman" w:cs="Times New Roman"/>
                      <w:b/>
                      <w:color w:val="000000"/>
                      <w:sz w:val="18"/>
                      <w:szCs w:val="18"/>
                      <w:lang w:val="ro-MD"/>
                    </w:rPr>
                    <w:t xml:space="preserve"> (N2 si N3)</w:t>
                  </w:r>
                </w:p>
              </w:tc>
              <w:tc>
                <w:tcPr>
                  <w:tcW w:w="744" w:type="dxa"/>
                  <w:tcBorders>
                    <w:top w:val="nil"/>
                    <w:left w:val="nil"/>
                    <w:bottom w:val="single" w:sz="4" w:space="0" w:color="auto"/>
                    <w:right w:val="single" w:sz="4" w:space="0" w:color="auto"/>
                  </w:tcBorders>
                  <w:shd w:val="clear" w:color="auto" w:fill="auto"/>
                  <w:vAlign w:val="center"/>
                  <w:hideMark/>
                </w:tcPr>
                <w:p w14:paraId="59CE1AFB"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212</w:t>
                  </w:r>
                </w:p>
              </w:tc>
              <w:tc>
                <w:tcPr>
                  <w:tcW w:w="944" w:type="dxa"/>
                  <w:tcBorders>
                    <w:top w:val="nil"/>
                    <w:left w:val="nil"/>
                    <w:bottom w:val="single" w:sz="4" w:space="0" w:color="auto"/>
                    <w:right w:val="single" w:sz="4" w:space="0" w:color="auto"/>
                  </w:tcBorders>
                  <w:shd w:val="clear" w:color="auto" w:fill="auto"/>
                  <w:vAlign w:val="center"/>
                  <w:hideMark/>
                </w:tcPr>
                <w:p w14:paraId="52EDFB9B"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11</w:t>
                  </w:r>
                </w:p>
              </w:tc>
              <w:tc>
                <w:tcPr>
                  <w:tcW w:w="744" w:type="dxa"/>
                  <w:tcBorders>
                    <w:top w:val="nil"/>
                    <w:left w:val="nil"/>
                    <w:bottom w:val="single" w:sz="4" w:space="0" w:color="auto"/>
                    <w:right w:val="single" w:sz="4" w:space="0" w:color="auto"/>
                  </w:tcBorders>
                  <w:shd w:val="clear" w:color="auto" w:fill="auto"/>
                  <w:vAlign w:val="center"/>
                  <w:hideMark/>
                </w:tcPr>
                <w:p w14:paraId="0EDA3CC8"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2,320</w:t>
                  </w:r>
                </w:p>
              </w:tc>
              <w:tc>
                <w:tcPr>
                  <w:tcW w:w="944" w:type="dxa"/>
                  <w:tcBorders>
                    <w:top w:val="nil"/>
                    <w:left w:val="nil"/>
                    <w:bottom w:val="single" w:sz="4" w:space="0" w:color="auto"/>
                    <w:right w:val="single" w:sz="4" w:space="0" w:color="auto"/>
                  </w:tcBorders>
                  <w:shd w:val="clear" w:color="auto" w:fill="auto"/>
                  <w:vAlign w:val="center"/>
                  <w:hideMark/>
                </w:tcPr>
                <w:p w14:paraId="655A8578"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2,320</w:t>
                  </w:r>
                </w:p>
              </w:tc>
              <w:tc>
                <w:tcPr>
                  <w:tcW w:w="834" w:type="dxa"/>
                  <w:tcBorders>
                    <w:top w:val="nil"/>
                    <w:left w:val="nil"/>
                    <w:bottom w:val="single" w:sz="4" w:space="0" w:color="auto"/>
                    <w:right w:val="single" w:sz="4" w:space="0" w:color="auto"/>
                  </w:tcBorders>
                  <w:shd w:val="clear" w:color="auto" w:fill="auto"/>
                  <w:vAlign w:val="center"/>
                  <w:hideMark/>
                </w:tcPr>
                <w:p w14:paraId="5CBF2B01"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491,840</w:t>
                  </w:r>
                </w:p>
              </w:tc>
              <w:tc>
                <w:tcPr>
                  <w:tcW w:w="944" w:type="dxa"/>
                  <w:tcBorders>
                    <w:top w:val="nil"/>
                    <w:left w:val="nil"/>
                    <w:bottom w:val="single" w:sz="4" w:space="0" w:color="auto"/>
                    <w:right w:val="single" w:sz="4" w:space="0" w:color="auto"/>
                  </w:tcBorders>
                  <w:shd w:val="clear" w:color="auto" w:fill="auto"/>
                  <w:vAlign w:val="center"/>
                  <w:hideMark/>
                </w:tcPr>
                <w:p w14:paraId="2CE19A1C"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25,520</w:t>
                  </w:r>
                </w:p>
              </w:tc>
              <w:tc>
                <w:tcPr>
                  <w:tcW w:w="744" w:type="dxa"/>
                  <w:tcBorders>
                    <w:top w:val="nil"/>
                    <w:left w:val="nil"/>
                    <w:bottom w:val="single" w:sz="4" w:space="0" w:color="auto"/>
                    <w:right w:val="single" w:sz="4" w:space="0" w:color="auto"/>
                  </w:tcBorders>
                  <w:shd w:val="clear" w:color="auto" w:fill="auto"/>
                  <w:vAlign w:val="center"/>
                  <w:hideMark/>
                </w:tcPr>
                <w:p w14:paraId="65E1E85B"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793</w:t>
                  </w:r>
                </w:p>
              </w:tc>
              <w:tc>
                <w:tcPr>
                  <w:tcW w:w="944" w:type="dxa"/>
                  <w:tcBorders>
                    <w:top w:val="nil"/>
                    <w:left w:val="nil"/>
                    <w:bottom w:val="single" w:sz="4" w:space="0" w:color="auto"/>
                    <w:right w:val="single" w:sz="4" w:space="0" w:color="auto"/>
                  </w:tcBorders>
                  <w:shd w:val="clear" w:color="auto" w:fill="auto"/>
                  <w:vAlign w:val="center"/>
                  <w:hideMark/>
                </w:tcPr>
                <w:p w14:paraId="269BD024"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539</w:t>
                  </w:r>
                </w:p>
              </w:tc>
              <w:tc>
                <w:tcPr>
                  <w:tcW w:w="834" w:type="dxa"/>
                  <w:tcBorders>
                    <w:top w:val="nil"/>
                    <w:left w:val="nil"/>
                    <w:bottom w:val="single" w:sz="4" w:space="0" w:color="auto"/>
                    <w:right w:val="single" w:sz="4" w:space="0" w:color="auto"/>
                  </w:tcBorders>
                  <w:shd w:val="clear" w:color="auto" w:fill="auto"/>
                  <w:vAlign w:val="center"/>
                  <w:hideMark/>
                </w:tcPr>
                <w:p w14:paraId="428CA9D4"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840,750</w:t>
                  </w:r>
                </w:p>
              </w:tc>
              <w:tc>
                <w:tcPr>
                  <w:tcW w:w="1327" w:type="dxa"/>
                  <w:tcBorders>
                    <w:top w:val="nil"/>
                    <w:left w:val="nil"/>
                    <w:bottom w:val="single" w:sz="4" w:space="0" w:color="auto"/>
                    <w:right w:val="single" w:sz="4" w:space="0" w:color="auto"/>
                  </w:tcBorders>
                  <w:shd w:val="clear" w:color="auto" w:fill="auto"/>
                  <w:vAlign w:val="center"/>
                  <w:hideMark/>
                </w:tcPr>
                <w:p w14:paraId="295BFF10"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29,632</w:t>
                  </w:r>
                </w:p>
              </w:tc>
            </w:tr>
            <w:tr w:rsidR="00C108FB" w:rsidRPr="00DD57E3" w14:paraId="1890379A" w14:textId="77777777" w:rsidTr="00DC2761">
              <w:trPr>
                <w:cantSplit/>
                <w:trHeight w:val="20"/>
                <w:jc w:val="center"/>
              </w:trPr>
              <w:tc>
                <w:tcPr>
                  <w:tcW w:w="1434" w:type="dxa"/>
                  <w:tcBorders>
                    <w:top w:val="nil"/>
                    <w:left w:val="single" w:sz="4" w:space="0" w:color="auto"/>
                    <w:bottom w:val="single" w:sz="4" w:space="0" w:color="auto"/>
                    <w:right w:val="single" w:sz="4" w:space="0" w:color="auto"/>
                  </w:tcBorders>
                  <w:shd w:val="clear" w:color="000000" w:fill="D9D9D9"/>
                  <w:vAlign w:val="center"/>
                  <w:hideMark/>
                </w:tcPr>
                <w:p w14:paraId="53B6C9D2" w14:textId="2F56B3EE" w:rsidR="00C108FB" w:rsidRPr="00DD57E3" w:rsidRDefault="00C108FB" w:rsidP="00C108FB">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BUS (M3)</w:t>
                  </w:r>
                </w:p>
              </w:tc>
              <w:tc>
                <w:tcPr>
                  <w:tcW w:w="744" w:type="dxa"/>
                  <w:tcBorders>
                    <w:top w:val="nil"/>
                    <w:left w:val="nil"/>
                    <w:bottom w:val="single" w:sz="4" w:space="0" w:color="auto"/>
                    <w:right w:val="single" w:sz="4" w:space="0" w:color="auto"/>
                  </w:tcBorders>
                  <w:shd w:val="clear" w:color="auto" w:fill="auto"/>
                  <w:vAlign w:val="center"/>
                  <w:hideMark/>
                </w:tcPr>
                <w:p w14:paraId="266959E7"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113</w:t>
                  </w:r>
                </w:p>
              </w:tc>
              <w:tc>
                <w:tcPr>
                  <w:tcW w:w="944" w:type="dxa"/>
                  <w:tcBorders>
                    <w:top w:val="nil"/>
                    <w:left w:val="nil"/>
                    <w:bottom w:val="single" w:sz="4" w:space="0" w:color="auto"/>
                    <w:right w:val="single" w:sz="4" w:space="0" w:color="auto"/>
                  </w:tcBorders>
                  <w:shd w:val="clear" w:color="auto" w:fill="auto"/>
                  <w:vAlign w:val="center"/>
                  <w:hideMark/>
                </w:tcPr>
                <w:p w14:paraId="32AAB9E0"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18</w:t>
                  </w:r>
                </w:p>
              </w:tc>
              <w:tc>
                <w:tcPr>
                  <w:tcW w:w="744" w:type="dxa"/>
                  <w:tcBorders>
                    <w:top w:val="nil"/>
                    <w:left w:val="nil"/>
                    <w:bottom w:val="single" w:sz="4" w:space="0" w:color="auto"/>
                    <w:right w:val="single" w:sz="4" w:space="0" w:color="auto"/>
                  </w:tcBorders>
                  <w:shd w:val="clear" w:color="auto" w:fill="auto"/>
                  <w:vAlign w:val="center"/>
                  <w:hideMark/>
                </w:tcPr>
                <w:p w14:paraId="5AA9A0BD"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5,561</w:t>
                  </w:r>
                </w:p>
              </w:tc>
              <w:tc>
                <w:tcPr>
                  <w:tcW w:w="944" w:type="dxa"/>
                  <w:tcBorders>
                    <w:top w:val="nil"/>
                    <w:left w:val="nil"/>
                    <w:bottom w:val="single" w:sz="4" w:space="0" w:color="auto"/>
                    <w:right w:val="single" w:sz="4" w:space="0" w:color="auto"/>
                  </w:tcBorders>
                  <w:shd w:val="clear" w:color="auto" w:fill="auto"/>
                  <w:vAlign w:val="center"/>
                  <w:hideMark/>
                </w:tcPr>
                <w:p w14:paraId="38884EBF"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11,400</w:t>
                  </w:r>
                </w:p>
              </w:tc>
              <w:tc>
                <w:tcPr>
                  <w:tcW w:w="834" w:type="dxa"/>
                  <w:tcBorders>
                    <w:top w:val="nil"/>
                    <w:left w:val="nil"/>
                    <w:bottom w:val="single" w:sz="4" w:space="0" w:color="auto"/>
                    <w:right w:val="single" w:sz="4" w:space="0" w:color="auto"/>
                  </w:tcBorders>
                  <w:shd w:val="clear" w:color="auto" w:fill="auto"/>
                  <w:vAlign w:val="center"/>
                  <w:hideMark/>
                </w:tcPr>
                <w:p w14:paraId="6041D84A"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628,370</w:t>
                  </w:r>
                </w:p>
              </w:tc>
              <w:tc>
                <w:tcPr>
                  <w:tcW w:w="944" w:type="dxa"/>
                  <w:tcBorders>
                    <w:top w:val="nil"/>
                    <w:left w:val="nil"/>
                    <w:bottom w:val="single" w:sz="4" w:space="0" w:color="auto"/>
                    <w:right w:val="single" w:sz="4" w:space="0" w:color="auto"/>
                  </w:tcBorders>
                  <w:shd w:val="clear" w:color="auto" w:fill="auto"/>
                  <w:vAlign w:val="center"/>
                  <w:hideMark/>
                </w:tcPr>
                <w:p w14:paraId="59138618"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205,200</w:t>
                  </w:r>
                </w:p>
              </w:tc>
              <w:tc>
                <w:tcPr>
                  <w:tcW w:w="744" w:type="dxa"/>
                  <w:tcBorders>
                    <w:top w:val="nil"/>
                    <w:left w:val="nil"/>
                    <w:bottom w:val="single" w:sz="4" w:space="0" w:color="auto"/>
                    <w:right w:val="single" w:sz="4" w:space="0" w:color="auto"/>
                  </w:tcBorders>
                  <w:shd w:val="clear" w:color="auto" w:fill="auto"/>
                  <w:vAlign w:val="center"/>
                  <w:hideMark/>
                </w:tcPr>
                <w:p w14:paraId="5D0C202F"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1,964</w:t>
                  </w:r>
                </w:p>
              </w:tc>
              <w:tc>
                <w:tcPr>
                  <w:tcW w:w="944" w:type="dxa"/>
                  <w:tcBorders>
                    <w:top w:val="nil"/>
                    <w:left w:val="nil"/>
                    <w:bottom w:val="single" w:sz="4" w:space="0" w:color="auto"/>
                    <w:right w:val="single" w:sz="4" w:space="0" w:color="auto"/>
                  </w:tcBorders>
                  <w:shd w:val="clear" w:color="auto" w:fill="auto"/>
                  <w:vAlign w:val="center"/>
                  <w:hideMark/>
                </w:tcPr>
                <w:p w14:paraId="353B8045"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1,762</w:t>
                  </w:r>
                </w:p>
              </w:tc>
              <w:tc>
                <w:tcPr>
                  <w:tcW w:w="834" w:type="dxa"/>
                  <w:tcBorders>
                    <w:top w:val="nil"/>
                    <w:left w:val="nil"/>
                    <w:bottom w:val="single" w:sz="4" w:space="0" w:color="auto"/>
                    <w:right w:val="single" w:sz="4" w:space="0" w:color="auto"/>
                  </w:tcBorders>
                  <w:shd w:val="clear" w:color="auto" w:fill="auto"/>
                  <w:vAlign w:val="center"/>
                  <w:hideMark/>
                </w:tcPr>
                <w:p w14:paraId="46B49EB3"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1,109,393</w:t>
                  </w:r>
                </w:p>
              </w:tc>
              <w:tc>
                <w:tcPr>
                  <w:tcW w:w="1327" w:type="dxa"/>
                  <w:tcBorders>
                    <w:top w:val="nil"/>
                    <w:left w:val="nil"/>
                    <w:bottom w:val="single" w:sz="4" w:space="0" w:color="auto"/>
                    <w:right w:val="single" w:sz="4" w:space="0" w:color="auto"/>
                  </w:tcBorders>
                  <w:shd w:val="clear" w:color="auto" w:fill="auto"/>
                  <w:vAlign w:val="center"/>
                  <w:hideMark/>
                </w:tcPr>
                <w:p w14:paraId="1A390562" w14:textId="77777777" w:rsidR="00C108FB" w:rsidRPr="00DD57E3" w:rsidRDefault="00C108FB"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158,611</w:t>
                  </w:r>
                </w:p>
              </w:tc>
            </w:tr>
            <w:tr w:rsidR="00C108FB" w:rsidRPr="00DD57E3" w14:paraId="134735E9" w14:textId="77777777" w:rsidTr="00DC2761">
              <w:trPr>
                <w:cantSplit/>
                <w:trHeight w:val="20"/>
                <w:jc w:val="center"/>
              </w:trPr>
              <w:tc>
                <w:tcPr>
                  <w:tcW w:w="1434" w:type="dxa"/>
                  <w:tcBorders>
                    <w:top w:val="nil"/>
                    <w:left w:val="single" w:sz="4" w:space="0" w:color="auto"/>
                    <w:bottom w:val="single" w:sz="4" w:space="0" w:color="auto"/>
                    <w:right w:val="single" w:sz="4" w:space="0" w:color="auto"/>
                  </w:tcBorders>
                  <w:shd w:val="clear" w:color="000000" w:fill="D9D9D9"/>
                  <w:vAlign w:val="center"/>
                  <w:hideMark/>
                </w:tcPr>
                <w:p w14:paraId="6FB1CEDB" w14:textId="77777777" w:rsidR="00C108FB" w:rsidRPr="00DD57E3" w:rsidRDefault="00C108FB" w:rsidP="00C108FB">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Total</w:t>
                  </w:r>
                </w:p>
              </w:tc>
              <w:tc>
                <w:tcPr>
                  <w:tcW w:w="3376" w:type="dxa"/>
                  <w:gridSpan w:val="4"/>
                  <w:tcBorders>
                    <w:top w:val="single" w:sz="4" w:space="0" w:color="auto"/>
                    <w:left w:val="nil"/>
                    <w:bottom w:val="single" w:sz="4" w:space="0" w:color="auto"/>
                    <w:right w:val="single" w:sz="4" w:space="0" w:color="000000"/>
                  </w:tcBorders>
                  <w:shd w:val="clear" w:color="auto" w:fill="auto"/>
                  <w:vAlign w:val="center"/>
                  <w:hideMark/>
                </w:tcPr>
                <w:p w14:paraId="1359A571" w14:textId="77777777" w:rsidR="00C108FB" w:rsidRPr="00DD57E3" w:rsidRDefault="00C108FB" w:rsidP="00C108FB">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 </w:t>
                  </w:r>
                </w:p>
              </w:tc>
              <w:tc>
                <w:tcPr>
                  <w:tcW w:w="834" w:type="dxa"/>
                  <w:tcBorders>
                    <w:top w:val="nil"/>
                    <w:left w:val="nil"/>
                    <w:bottom w:val="single" w:sz="4" w:space="0" w:color="auto"/>
                    <w:right w:val="single" w:sz="4" w:space="0" w:color="auto"/>
                  </w:tcBorders>
                  <w:shd w:val="clear" w:color="auto" w:fill="auto"/>
                  <w:vAlign w:val="center"/>
                  <w:hideMark/>
                </w:tcPr>
                <w:p w14:paraId="712C9985" w14:textId="77777777" w:rsidR="00C108FB" w:rsidRPr="00DD57E3" w:rsidRDefault="00C108FB" w:rsidP="00C108FB">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1,724,866</w:t>
                  </w:r>
                </w:p>
              </w:tc>
              <w:tc>
                <w:tcPr>
                  <w:tcW w:w="944" w:type="dxa"/>
                  <w:tcBorders>
                    <w:top w:val="nil"/>
                    <w:left w:val="nil"/>
                    <w:bottom w:val="single" w:sz="4" w:space="0" w:color="auto"/>
                    <w:right w:val="single" w:sz="4" w:space="0" w:color="auto"/>
                  </w:tcBorders>
                  <w:shd w:val="clear" w:color="auto" w:fill="auto"/>
                  <w:vAlign w:val="center"/>
                  <w:hideMark/>
                </w:tcPr>
                <w:p w14:paraId="570A695E" w14:textId="77777777" w:rsidR="00C108FB" w:rsidRPr="00DD57E3" w:rsidRDefault="00C108FB" w:rsidP="00C108FB">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380,795</w:t>
                  </w:r>
                </w:p>
              </w:tc>
              <w:tc>
                <w:tcPr>
                  <w:tcW w:w="1688" w:type="dxa"/>
                  <w:gridSpan w:val="2"/>
                  <w:tcBorders>
                    <w:top w:val="single" w:sz="4" w:space="0" w:color="auto"/>
                    <w:left w:val="nil"/>
                    <w:bottom w:val="single" w:sz="4" w:space="0" w:color="auto"/>
                    <w:right w:val="single" w:sz="4" w:space="0" w:color="000000"/>
                  </w:tcBorders>
                  <w:shd w:val="clear" w:color="auto" w:fill="auto"/>
                  <w:vAlign w:val="bottom"/>
                  <w:hideMark/>
                </w:tcPr>
                <w:p w14:paraId="45792446" w14:textId="77777777" w:rsidR="00C108FB" w:rsidRPr="00DD57E3" w:rsidRDefault="00C108FB" w:rsidP="00C108FB">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 </w:t>
                  </w:r>
                </w:p>
              </w:tc>
              <w:tc>
                <w:tcPr>
                  <w:tcW w:w="834" w:type="dxa"/>
                  <w:tcBorders>
                    <w:top w:val="nil"/>
                    <w:left w:val="nil"/>
                    <w:bottom w:val="single" w:sz="4" w:space="0" w:color="auto"/>
                    <w:right w:val="single" w:sz="4" w:space="0" w:color="auto"/>
                  </w:tcBorders>
                  <w:shd w:val="clear" w:color="auto" w:fill="auto"/>
                  <w:vAlign w:val="center"/>
                  <w:hideMark/>
                </w:tcPr>
                <w:p w14:paraId="53716533" w14:textId="77777777" w:rsidR="00C108FB" w:rsidRPr="00DD57E3" w:rsidRDefault="00C108FB" w:rsidP="00C108FB">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4,116,296</w:t>
                  </w:r>
                </w:p>
              </w:tc>
              <w:tc>
                <w:tcPr>
                  <w:tcW w:w="1327" w:type="dxa"/>
                  <w:tcBorders>
                    <w:top w:val="nil"/>
                    <w:left w:val="nil"/>
                    <w:bottom w:val="single" w:sz="4" w:space="0" w:color="auto"/>
                    <w:right w:val="single" w:sz="4" w:space="0" w:color="auto"/>
                  </w:tcBorders>
                  <w:shd w:val="clear" w:color="auto" w:fill="auto"/>
                  <w:vAlign w:val="center"/>
                  <w:hideMark/>
                </w:tcPr>
                <w:p w14:paraId="40443237" w14:textId="77777777" w:rsidR="00C108FB" w:rsidRPr="00DD57E3" w:rsidRDefault="00C108FB" w:rsidP="00C108FB">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478,788</w:t>
                  </w:r>
                </w:p>
              </w:tc>
            </w:tr>
            <w:tr w:rsidR="00C108FB" w:rsidRPr="00DD57E3" w14:paraId="6DADC476" w14:textId="77777777" w:rsidTr="00DC2761">
              <w:trPr>
                <w:cantSplit/>
                <w:trHeight w:val="20"/>
                <w:jc w:val="center"/>
              </w:trPr>
              <w:tc>
                <w:tcPr>
                  <w:tcW w:w="9110"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14:paraId="2DEBDB86" w14:textId="77777777" w:rsidR="00C108FB" w:rsidRPr="00DD57E3" w:rsidRDefault="00C108FB" w:rsidP="00C108FB">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Grand Total (CAPEX+OPEX - 2026-2030)</w:t>
                  </w:r>
                </w:p>
              </w:tc>
              <w:tc>
                <w:tcPr>
                  <w:tcW w:w="1327" w:type="dxa"/>
                  <w:tcBorders>
                    <w:top w:val="nil"/>
                    <w:left w:val="nil"/>
                    <w:bottom w:val="single" w:sz="4" w:space="0" w:color="auto"/>
                    <w:right w:val="single" w:sz="4" w:space="0" w:color="auto"/>
                  </w:tcBorders>
                  <w:shd w:val="clear" w:color="auto" w:fill="auto"/>
                  <w:vAlign w:val="center"/>
                  <w:hideMark/>
                </w:tcPr>
                <w:p w14:paraId="4C518024" w14:textId="77777777" w:rsidR="00C108FB" w:rsidRPr="00DD57E3" w:rsidRDefault="00C108FB" w:rsidP="00C108FB">
                  <w:pPr>
                    <w:spacing w:after="0" w:line="240" w:lineRule="auto"/>
                    <w:jc w:val="right"/>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6,700,745</w:t>
                  </w:r>
                </w:p>
              </w:tc>
            </w:tr>
          </w:tbl>
          <w:p w14:paraId="1CA47D46" w14:textId="77777777" w:rsidR="00C108FB" w:rsidRPr="00DD57E3" w:rsidRDefault="00C108FB" w:rsidP="00447B3D">
            <w:pPr>
              <w:spacing w:before="100" w:after="100" w:line="259" w:lineRule="auto"/>
              <w:jc w:val="both"/>
              <w:rPr>
                <w:rFonts w:ascii="Times New Roman" w:hAnsi="Times New Roman" w:cs="Times New Roman"/>
                <w:bCs/>
                <w:iCs/>
                <w:sz w:val="24"/>
                <w:szCs w:val="24"/>
                <w:lang w:val="ro-MD"/>
              </w:rPr>
            </w:pPr>
          </w:p>
          <w:p w14:paraId="7467CFB8" w14:textId="77777777" w:rsidR="00DC2761" w:rsidRPr="00DD57E3" w:rsidRDefault="00DC2761" w:rsidP="00447B3D">
            <w:pPr>
              <w:spacing w:before="100" w:after="100" w:line="259" w:lineRule="auto"/>
              <w:jc w:val="both"/>
              <w:rPr>
                <w:rFonts w:ascii="Times New Roman" w:hAnsi="Times New Roman" w:cs="Times New Roman"/>
                <w:bCs/>
                <w:iCs/>
                <w:sz w:val="24"/>
                <w:szCs w:val="24"/>
                <w:lang w:val="ro-MD"/>
              </w:rPr>
            </w:pPr>
          </w:p>
          <w:p w14:paraId="3F0C0B24" w14:textId="77777777" w:rsidR="00DC2761" w:rsidRPr="00DD57E3" w:rsidRDefault="00DC2761" w:rsidP="00447B3D">
            <w:pPr>
              <w:spacing w:before="100" w:after="100" w:line="259" w:lineRule="auto"/>
              <w:jc w:val="both"/>
              <w:rPr>
                <w:rFonts w:ascii="Times New Roman" w:hAnsi="Times New Roman" w:cs="Times New Roman"/>
                <w:bCs/>
                <w:iCs/>
                <w:sz w:val="24"/>
                <w:szCs w:val="24"/>
                <w:lang w:val="ro-MD"/>
              </w:rPr>
            </w:pPr>
          </w:p>
          <w:p w14:paraId="7AC1F35A" w14:textId="77777777" w:rsidR="00167E6F" w:rsidRPr="00DD57E3" w:rsidRDefault="00167E6F" w:rsidP="00447B3D">
            <w:pPr>
              <w:spacing w:before="100" w:after="100" w:line="259" w:lineRule="auto"/>
              <w:jc w:val="both"/>
              <w:rPr>
                <w:rFonts w:ascii="Times New Roman" w:hAnsi="Times New Roman" w:cs="Times New Roman"/>
                <w:bCs/>
                <w:iCs/>
                <w:sz w:val="24"/>
                <w:szCs w:val="24"/>
                <w:lang w:val="ro-MD"/>
              </w:rPr>
            </w:pPr>
          </w:p>
          <w:p w14:paraId="11883BC3" w14:textId="77777777" w:rsidR="00167E6F" w:rsidRPr="00DD57E3" w:rsidRDefault="00167E6F" w:rsidP="00447B3D">
            <w:pPr>
              <w:spacing w:before="100" w:after="100" w:line="259" w:lineRule="auto"/>
              <w:jc w:val="both"/>
              <w:rPr>
                <w:rFonts w:ascii="Times New Roman" w:hAnsi="Times New Roman" w:cs="Times New Roman"/>
                <w:bCs/>
                <w:iCs/>
                <w:sz w:val="24"/>
                <w:szCs w:val="24"/>
                <w:lang w:val="ro-MD"/>
              </w:rPr>
            </w:pPr>
          </w:p>
          <w:p w14:paraId="1231A4B0" w14:textId="00F37400" w:rsidR="006F6753" w:rsidRPr="00DD57E3" w:rsidRDefault="006F6753" w:rsidP="006F6753">
            <w:pPr>
              <w:spacing w:before="100" w:after="100" w:line="259" w:lineRule="auto"/>
              <w:jc w:val="right"/>
              <w:rPr>
                <w:rFonts w:ascii="Times New Roman" w:hAnsi="Times New Roman" w:cs="Times New Roman"/>
                <w:bCs/>
                <w:iCs/>
                <w:sz w:val="24"/>
                <w:szCs w:val="24"/>
                <w:lang w:val="ro-MD"/>
              </w:rPr>
            </w:pPr>
            <w:r w:rsidRPr="00DD57E3">
              <w:rPr>
                <w:rFonts w:ascii="Times New Roman" w:eastAsiaTheme="minorEastAsia" w:hAnsi="Times New Roman" w:cs="Times New Roman"/>
                <w:i/>
                <w:sz w:val="24"/>
                <w:szCs w:val="24"/>
                <w:lang w:val="ro-MD" w:eastAsia="ar-SA"/>
              </w:rPr>
              <w:lastRenderedPageBreak/>
              <w:t xml:space="preserve">Tabel 9. Impactul financiar (scenariu </w:t>
            </w:r>
            <w:r w:rsidR="00F639E7" w:rsidRPr="00DD57E3">
              <w:rPr>
                <w:rFonts w:ascii="Times New Roman" w:eastAsiaTheme="minorEastAsia" w:hAnsi="Times New Roman" w:cs="Times New Roman"/>
                <w:i/>
                <w:sz w:val="24"/>
                <w:szCs w:val="24"/>
                <w:lang w:val="ro-MD" w:eastAsia="ar-SA"/>
              </w:rPr>
              <w:t>optimist</w:t>
            </w:r>
            <w:r w:rsidRPr="00DD57E3">
              <w:rPr>
                <w:rFonts w:ascii="Times New Roman" w:eastAsiaTheme="minorEastAsia" w:hAnsi="Times New Roman" w:cs="Times New Roman"/>
                <w:i/>
                <w:sz w:val="24"/>
                <w:szCs w:val="24"/>
                <w:lang w:val="ro-MD" w:eastAsia="ar-SA"/>
              </w:rPr>
              <w:t>)</w:t>
            </w:r>
          </w:p>
          <w:tbl>
            <w:tblPr>
              <w:tblW w:w="10349" w:type="dxa"/>
              <w:jc w:val="center"/>
              <w:tblCellMar>
                <w:left w:w="57" w:type="dxa"/>
                <w:right w:w="57" w:type="dxa"/>
              </w:tblCellMar>
              <w:tblLook w:val="04A0" w:firstRow="1" w:lastRow="0" w:firstColumn="1" w:lastColumn="0" w:noHBand="0" w:noVBand="1"/>
            </w:tblPr>
            <w:tblGrid>
              <w:gridCol w:w="1313"/>
              <w:gridCol w:w="744"/>
              <w:gridCol w:w="944"/>
              <w:gridCol w:w="744"/>
              <w:gridCol w:w="944"/>
              <w:gridCol w:w="834"/>
              <w:gridCol w:w="944"/>
              <w:gridCol w:w="744"/>
              <w:gridCol w:w="944"/>
              <w:gridCol w:w="834"/>
              <w:gridCol w:w="1360"/>
            </w:tblGrid>
            <w:tr w:rsidR="00B21289" w:rsidRPr="00DD57E3" w14:paraId="6199AEFE" w14:textId="77777777" w:rsidTr="00F639E7">
              <w:trPr>
                <w:trHeight w:val="20"/>
                <w:jc w:val="center"/>
              </w:trPr>
              <w:tc>
                <w:tcPr>
                  <w:tcW w:w="1034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547859" w14:textId="77777777" w:rsidR="00B21289" w:rsidRPr="00DD57E3" w:rsidRDefault="00B21289" w:rsidP="00B21289">
                  <w:pPr>
                    <w:spacing w:after="0" w:line="240" w:lineRule="auto"/>
                    <w:jc w:val="center"/>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Scenariu optimist</w:t>
                  </w:r>
                </w:p>
              </w:tc>
            </w:tr>
            <w:tr w:rsidR="00B21289" w:rsidRPr="00DD57E3" w14:paraId="6DC036DA" w14:textId="77777777" w:rsidTr="00F639E7">
              <w:trPr>
                <w:trHeight w:val="20"/>
                <w:jc w:val="center"/>
              </w:trPr>
              <w:tc>
                <w:tcPr>
                  <w:tcW w:w="1313"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FDB3D1C" w14:textId="77777777" w:rsidR="00B21289" w:rsidRPr="00DD57E3" w:rsidRDefault="00B21289" w:rsidP="00B21289">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Categorii de vehicule</w:t>
                  </w:r>
                </w:p>
              </w:tc>
              <w:tc>
                <w:tcPr>
                  <w:tcW w:w="168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8C43828" w14:textId="77777777" w:rsidR="00B21289" w:rsidRPr="00DD57E3" w:rsidRDefault="00B21289" w:rsidP="00B21289">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Necesar de înnoit/achiziționat</w:t>
                  </w:r>
                </w:p>
              </w:tc>
              <w:tc>
                <w:tcPr>
                  <w:tcW w:w="168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AB4055" w14:textId="77777777" w:rsidR="00B21289" w:rsidRPr="00DD57E3" w:rsidRDefault="00B21289" w:rsidP="00B21289">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Valoarea actuală medie a 1 vehicul, mii MDL</w:t>
                  </w:r>
                </w:p>
              </w:tc>
              <w:tc>
                <w:tcPr>
                  <w:tcW w:w="177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6CFC2A3" w14:textId="77777777" w:rsidR="00B21289" w:rsidRPr="00DD57E3" w:rsidRDefault="00B21289" w:rsidP="00B21289">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Cost CAPEX, mii MDL</w:t>
                  </w:r>
                </w:p>
              </w:tc>
              <w:tc>
                <w:tcPr>
                  <w:tcW w:w="168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6AC52C" w14:textId="77777777" w:rsidR="00B21289" w:rsidRPr="00DD57E3" w:rsidRDefault="00B21289" w:rsidP="00B21289">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Costurile operaționale anuale per 1 vehicul, mii MDL/an</w:t>
                  </w:r>
                </w:p>
              </w:tc>
              <w:tc>
                <w:tcPr>
                  <w:tcW w:w="219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1B20A6" w14:textId="77777777" w:rsidR="00B21289" w:rsidRPr="00DD57E3" w:rsidRDefault="00B21289" w:rsidP="00B21289">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Cost OPEX (2026-2030), mii MDL</w:t>
                  </w:r>
                </w:p>
              </w:tc>
            </w:tr>
            <w:tr w:rsidR="00B21289" w:rsidRPr="00DD57E3" w14:paraId="325B09AB" w14:textId="77777777" w:rsidTr="00F639E7">
              <w:trPr>
                <w:trHeight w:val="20"/>
                <w:jc w:val="center"/>
              </w:trPr>
              <w:tc>
                <w:tcPr>
                  <w:tcW w:w="131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052C08" w14:textId="77777777" w:rsidR="00B21289" w:rsidRPr="00DD57E3" w:rsidRDefault="00B21289" w:rsidP="00B21289">
                  <w:pPr>
                    <w:spacing w:after="0" w:line="240" w:lineRule="auto"/>
                    <w:rPr>
                      <w:rFonts w:ascii="Times New Roman" w:eastAsia="Times New Roman" w:hAnsi="Times New Roman" w:cs="Times New Roman"/>
                      <w:color w:val="000000"/>
                      <w:sz w:val="18"/>
                      <w:szCs w:val="18"/>
                      <w:lang w:val="ro-MD"/>
                    </w:rPr>
                  </w:pPr>
                </w:p>
              </w:tc>
              <w:tc>
                <w:tcPr>
                  <w:tcW w:w="744" w:type="dxa"/>
                  <w:tcBorders>
                    <w:top w:val="nil"/>
                    <w:left w:val="nil"/>
                    <w:bottom w:val="single" w:sz="4" w:space="0" w:color="auto"/>
                    <w:right w:val="single" w:sz="4" w:space="0" w:color="auto"/>
                  </w:tcBorders>
                  <w:shd w:val="clear" w:color="auto" w:fill="F2F2F2" w:themeFill="background1" w:themeFillShade="F2"/>
                  <w:vAlign w:val="center"/>
                  <w:hideMark/>
                </w:tcPr>
                <w:p w14:paraId="1B76D280" w14:textId="77777777" w:rsidR="00B21289" w:rsidRPr="00DD57E3" w:rsidRDefault="00B21289" w:rsidP="00B21289">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944" w:type="dxa"/>
                  <w:tcBorders>
                    <w:top w:val="nil"/>
                    <w:left w:val="nil"/>
                    <w:bottom w:val="single" w:sz="4" w:space="0" w:color="auto"/>
                    <w:right w:val="single" w:sz="4" w:space="0" w:color="auto"/>
                  </w:tcBorders>
                  <w:shd w:val="clear" w:color="auto" w:fill="F2F2F2" w:themeFill="background1" w:themeFillShade="F2"/>
                  <w:vAlign w:val="center"/>
                  <w:hideMark/>
                </w:tcPr>
                <w:p w14:paraId="387636B2" w14:textId="77777777" w:rsidR="00B21289" w:rsidRPr="00DD57E3" w:rsidRDefault="00B21289" w:rsidP="00B21289">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744" w:type="dxa"/>
                  <w:tcBorders>
                    <w:top w:val="nil"/>
                    <w:left w:val="nil"/>
                    <w:bottom w:val="single" w:sz="4" w:space="0" w:color="auto"/>
                    <w:right w:val="single" w:sz="4" w:space="0" w:color="auto"/>
                  </w:tcBorders>
                  <w:shd w:val="clear" w:color="auto" w:fill="F2F2F2" w:themeFill="background1" w:themeFillShade="F2"/>
                  <w:vAlign w:val="center"/>
                  <w:hideMark/>
                </w:tcPr>
                <w:p w14:paraId="2A1D0C01" w14:textId="77777777" w:rsidR="00B21289" w:rsidRPr="00DD57E3" w:rsidRDefault="00B21289" w:rsidP="00B21289">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944" w:type="dxa"/>
                  <w:tcBorders>
                    <w:top w:val="nil"/>
                    <w:left w:val="nil"/>
                    <w:bottom w:val="single" w:sz="4" w:space="0" w:color="auto"/>
                    <w:right w:val="single" w:sz="4" w:space="0" w:color="auto"/>
                  </w:tcBorders>
                  <w:shd w:val="clear" w:color="auto" w:fill="F2F2F2" w:themeFill="background1" w:themeFillShade="F2"/>
                  <w:vAlign w:val="center"/>
                  <w:hideMark/>
                </w:tcPr>
                <w:p w14:paraId="376244D3" w14:textId="77777777" w:rsidR="00B21289" w:rsidRPr="00DD57E3" w:rsidRDefault="00B21289" w:rsidP="00B21289">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834" w:type="dxa"/>
                  <w:tcBorders>
                    <w:top w:val="nil"/>
                    <w:left w:val="nil"/>
                    <w:bottom w:val="single" w:sz="4" w:space="0" w:color="auto"/>
                    <w:right w:val="single" w:sz="4" w:space="0" w:color="auto"/>
                  </w:tcBorders>
                  <w:shd w:val="clear" w:color="auto" w:fill="F2F2F2" w:themeFill="background1" w:themeFillShade="F2"/>
                  <w:vAlign w:val="center"/>
                  <w:hideMark/>
                </w:tcPr>
                <w:p w14:paraId="4FF730E9" w14:textId="77777777" w:rsidR="00B21289" w:rsidRPr="00DD57E3" w:rsidRDefault="00B21289" w:rsidP="00B21289">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944" w:type="dxa"/>
                  <w:tcBorders>
                    <w:top w:val="nil"/>
                    <w:left w:val="nil"/>
                    <w:bottom w:val="single" w:sz="4" w:space="0" w:color="auto"/>
                    <w:right w:val="single" w:sz="4" w:space="0" w:color="auto"/>
                  </w:tcBorders>
                  <w:shd w:val="clear" w:color="auto" w:fill="F2F2F2" w:themeFill="background1" w:themeFillShade="F2"/>
                  <w:vAlign w:val="center"/>
                  <w:hideMark/>
                </w:tcPr>
                <w:p w14:paraId="591C47D0" w14:textId="77777777" w:rsidR="00B21289" w:rsidRPr="00DD57E3" w:rsidRDefault="00B21289" w:rsidP="00B21289">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744" w:type="dxa"/>
                  <w:tcBorders>
                    <w:top w:val="nil"/>
                    <w:left w:val="nil"/>
                    <w:bottom w:val="single" w:sz="4" w:space="0" w:color="auto"/>
                    <w:right w:val="single" w:sz="4" w:space="0" w:color="auto"/>
                  </w:tcBorders>
                  <w:shd w:val="clear" w:color="auto" w:fill="F2F2F2" w:themeFill="background1" w:themeFillShade="F2"/>
                  <w:vAlign w:val="center"/>
                  <w:hideMark/>
                </w:tcPr>
                <w:p w14:paraId="2CFBE95B" w14:textId="77777777" w:rsidR="00B21289" w:rsidRPr="00DD57E3" w:rsidRDefault="00B21289" w:rsidP="00B21289">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944" w:type="dxa"/>
                  <w:tcBorders>
                    <w:top w:val="nil"/>
                    <w:left w:val="nil"/>
                    <w:bottom w:val="single" w:sz="4" w:space="0" w:color="auto"/>
                    <w:right w:val="single" w:sz="4" w:space="0" w:color="auto"/>
                  </w:tcBorders>
                  <w:shd w:val="clear" w:color="auto" w:fill="F2F2F2" w:themeFill="background1" w:themeFillShade="F2"/>
                  <w:vAlign w:val="center"/>
                  <w:hideMark/>
                </w:tcPr>
                <w:p w14:paraId="57340606" w14:textId="77777777" w:rsidR="00B21289" w:rsidRPr="00DD57E3" w:rsidRDefault="00B21289" w:rsidP="00B21289">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c>
                <w:tcPr>
                  <w:tcW w:w="834" w:type="dxa"/>
                  <w:tcBorders>
                    <w:top w:val="nil"/>
                    <w:left w:val="nil"/>
                    <w:bottom w:val="single" w:sz="4" w:space="0" w:color="auto"/>
                    <w:right w:val="single" w:sz="4" w:space="0" w:color="auto"/>
                  </w:tcBorders>
                  <w:shd w:val="clear" w:color="auto" w:fill="F2F2F2" w:themeFill="background1" w:themeFillShade="F2"/>
                  <w:vAlign w:val="center"/>
                  <w:hideMark/>
                </w:tcPr>
                <w:p w14:paraId="01D7F657" w14:textId="77777777" w:rsidR="00B21289" w:rsidRPr="00DD57E3" w:rsidRDefault="00B21289" w:rsidP="00B21289">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Poluante</w:t>
                  </w:r>
                </w:p>
              </w:tc>
              <w:tc>
                <w:tcPr>
                  <w:tcW w:w="1360" w:type="dxa"/>
                  <w:tcBorders>
                    <w:top w:val="nil"/>
                    <w:left w:val="nil"/>
                    <w:bottom w:val="single" w:sz="4" w:space="0" w:color="auto"/>
                    <w:right w:val="single" w:sz="4" w:space="0" w:color="auto"/>
                  </w:tcBorders>
                  <w:shd w:val="clear" w:color="auto" w:fill="F2F2F2" w:themeFill="background1" w:themeFillShade="F2"/>
                  <w:vAlign w:val="center"/>
                  <w:hideMark/>
                </w:tcPr>
                <w:p w14:paraId="55121922" w14:textId="77777777" w:rsidR="00B21289" w:rsidRPr="00DD57E3" w:rsidRDefault="00B21289" w:rsidP="00B21289">
                  <w:pPr>
                    <w:spacing w:after="0" w:line="240" w:lineRule="auto"/>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Nepoluante</w:t>
                  </w:r>
                </w:p>
              </w:tc>
            </w:tr>
            <w:tr w:rsidR="00B21289" w:rsidRPr="00DD57E3" w14:paraId="70B50A20" w14:textId="77777777" w:rsidTr="00B21289">
              <w:trPr>
                <w:trHeight w:val="20"/>
                <w:jc w:val="center"/>
              </w:trPr>
              <w:tc>
                <w:tcPr>
                  <w:tcW w:w="1313" w:type="dxa"/>
                  <w:tcBorders>
                    <w:top w:val="nil"/>
                    <w:left w:val="single" w:sz="4" w:space="0" w:color="auto"/>
                    <w:bottom w:val="single" w:sz="4" w:space="0" w:color="auto"/>
                    <w:right w:val="single" w:sz="4" w:space="0" w:color="auto"/>
                  </w:tcBorders>
                  <w:shd w:val="clear" w:color="000000" w:fill="D9D9D9"/>
                  <w:vAlign w:val="center"/>
                  <w:hideMark/>
                </w:tcPr>
                <w:p w14:paraId="698EA735" w14:textId="2C416DA1" w:rsidR="00B21289" w:rsidRPr="00DD57E3" w:rsidRDefault="00B21289" w:rsidP="00B21289">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V</w:t>
                  </w:r>
                  <w:r w:rsidR="00355788" w:rsidRPr="00DD57E3">
                    <w:rPr>
                      <w:rFonts w:ascii="Times New Roman" w:eastAsia="Times New Roman" w:hAnsi="Times New Roman" w:cs="Times New Roman"/>
                      <w:b/>
                      <w:color w:val="000000"/>
                      <w:sz w:val="18"/>
                      <w:szCs w:val="18"/>
                      <w:lang w:val="ro-MD"/>
                    </w:rPr>
                    <w:t>U</w:t>
                  </w:r>
                  <w:r w:rsidRPr="00DD57E3">
                    <w:rPr>
                      <w:rFonts w:ascii="Times New Roman" w:eastAsia="Times New Roman" w:hAnsi="Times New Roman" w:cs="Times New Roman"/>
                      <w:b/>
                      <w:color w:val="000000"/>
                      <w:sz w:val="18"/>
                      <w:szCs w:val="18"/>
                      <w:lang w:val="ro-MD"/>
                    </w:rPr>
                    <w:t xml:space="preserve"> (M1 si M2 si N1)</w:t>
                  </w:r>
                </w:p>
              </w:tc>
              <w:tc>
                <w:tcPr>
                  <w:tcW w:w="744" w:type="dxa"/>
                  <w:tcBorders>
                    <w:top w:val="nil"/>
                    <w:left w:val="nil"/>
                    <w:bottom w:val="single" w:sz="4" w:space="0" w:color="auto"/>
                    <w:right w:val="single" w:sz="4" w:space="0" w:color="auto"/>
                  </w:tcBorders>
                  <w:shd w:val="clear" w:color="auto" w:fill="auto"/>
                  <w:vAlign w:val="center"/>
                  <w:hideMark/>
                </w:tcPr>
                <w:p w14:paraId="20B17E0A"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1374</w:t>
                  </w:r>
                </w:p>
              </w:tc>
              <w:tc>
                <w:tcPr>
                  <w:tcW w:w="944" w:type="dxa"/>
                  <w:tcBorders>
                    <w:top w:val="nil"/>
                    <w:left w:val="nil"/>
                    <w:bottom w:val="single" w:sz="4" w:space="0" w:color="auto"/>
                    <w:right w:val="single" w:sz="4" w:space="0" w:color="auto"/>
                  </w:tcBorders>
                  <w:shd w:val="clear" w:color="auto" w:fill="auto"/>
                  <w:vAlign w:val="center"/>
                  <w:hideMark/>
                </w:tcPr>
                <w:p w14:paraId="543CFAAE"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159</w:t>
                  </w:r>
                </w:p>
              </w:tc>
              <w:tc>
                <w:tcPr>
                  <w:tcW w:w="744" w:type="dxa"/>
                  <w:tcBorders>
                    <w:top w:val="nil"/>
                    <w:left w:val="nil"/>
                    <w:bottom w:val="single" w:sz="4" w:space="0" w:color="auto"/>
                    <w:right w:val="single" w:sz="4" w:space="0" w:color="auto"/>
                  </w:tcBorders>
                  <w:shd w:val="clear" w:color="auto" w:fill="auto"/>
                  <w:vAlign w:val="center"/>
                  <w:hideMark/>
                </w:tcPr>
                <w:p w14:paraId="4269D621"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456</w:t>
                  </w:r>
                </w:p>
              </w:tc>
              <w:tc>
                <w:tcPr>
                  <w:tcW w:w="944" w:type="dxa"/>
                  <w:tcBorders>
                    <w:top w:val="nil"/>
                    <w:left w:val="nil"/>
                    <w:bottom w:val="single" w:sz="4" w:space="0" w:color="auto"/>
                    <w:right w:val="single" w:sz="4" w:space="0" w:color="auto"/>
                  </w:tcBorders>
                  <w:shd w:val="clear" w:color="auto" w:fill="auto"/>
                  <w:vAlign w:val="center"/>
                  <w:hideMark/>
                </w:tcPr>
                <w:p w14:paraId="71487F8F"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725</w:t>
                  </w:r>
                </w:p>
              </w:tc>
              <w:tc>
                <w:tcPr>
                  <w:tcW w:w="834" w:type="dxa"/>
                  <w:tcBorders>
                    <w:top w:val="nil"/>
                    <w:left w:val="nil"/>
                    <w:bottom w:val="single" w:sz="4" w:space="0" w:color="auto"/>
                    <w:right w:val="single" w:sz="4" w:space="0" w:color="auto"/>
                  </w:tcBorders>
                  <w:shd w:val="clear" w:color="auto" w:fill="auto"/>
                  <w:vAlign w:val="center"/>
                  <w:hideMark/>
                </w:tcPr>
                <w:p w14:paraId="05528D69"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626,544</w:t>
                  </w:r>
                </w:p>
              </w:tc>
              <w:tc>
                <w:tcPr>
                  <w:tcW w:w="944" w:type="dxa"/>
                  <w:tcBorders>
                    <w:top w:val="nil"/>
                    <w:left w:val="nil"/>
                    <w:bottom w:val="single" w:sz="4" w:space="0" w:color="auto"/>
                    <w:right w:val="single" w:sz="4" w:space="0" w:color="auto"/>
                  </w:tcBorders>
                  <w:shd w:val="clear" w:color="auto" w:fill="auto"/>
                  <w:vAlign w:val="center"/>
                  <w:hideMark/>
                </w:tcPr>
                <w:p w14:paraId="4B079D61"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115,275</w:t>
                  </w:r>
                </w:p>
              </w:tc>
              <w:tc>
                <w:tcPr>
                  <w:tcW w:w="744" w:type="dxa"/>
                  <w:tcBorders>
                    <w:top w:val="nil"/>
                    <w:left w:val="nil"/>
                    <w:bottom w:val="single" w:sz="4" w:space="0" w:color="auto"/>
                    <w:right w:val="single" w:sz="4" w:space="0" w:color="auto"/>
                  </w:tcBorders>
                  <w:shd w:val="clear" w:color="auto" w:fill="auto"/>
                  <w:vAlign w:val="center"/>
                  <w:hideMark/>
                </w:tcPr>
                <w:p w14:paraId="7E2D80D4"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327</w:t>
                  </w:r>
                </w:p>
              </w:tc>
              <w:tc>
                <w:tcPr>
                  <w:tcW w:w="944" w:type="dxa"/>
                  <w:tcBorders>
                    <w:top w:val="nil"/>
                    <w:left w:val="nil"/>
                    <w:bottom w:val="single" w:sz="4" w:space="0" w:color="auto"/>
                    <w:right w:val="single" w:sz="4" w:space="0" w:color="auto"/>
                  </w:tcBorders>
                  <w:shd w:val="clear" w:color="auto" w:fill="auto"/>
                  <w:vAlign w:val="center"/>
                  <w:hideMark/>
                </w:tcPr>
                <w:p w14:paraId="32B4491E"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281</w:t>
                  </w:r>
                </w:p>
              </w:tc>
              <w:tc>
                <w:tcPr>
                  <w:tcW w:w="834" w:type="dxa"/>
                  <w:tcBorders>
                    <w:top w:val="nil"/>
                    <w:left w:val="nil"/>
                    <w:bottom w:val="single" w:sz="4" w:space="0" w:color="auto"/>
                    <w:right w:val="single" w:sz="4" w:space="0" w:color="auto"/>
                  </w:tcBorders>
                  <w:shd w:val="clear" w:color="auto" w:fill="auto"/>
                  <w:vAlign w:val="center"/>
                  <w:hideMark/>
                </w:tcPr>
                <w:p w14:paraId="4965C05E"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2,244,566</w:t>
                  </w:r>
                </w:p>
              </w:tc>
              <w:tc>
                <w:tcPr>
                  <w:tcW w:w="1360" w:type="dxa"/>
                  <w:tcBorders>
                    <w:top w:val="nil"/>
                    <w:left w:val="nil"/>
                    <w:bottom w:val="single" w:sz="4" w:space="0" w:color="auto"/>
                    <w:right w:val="single" w:sz="4" w:space="0" w:color="auto"/>
                  </w:tcBorders>
                  <w:shd w:val="clear" w:color="auto" w:fill="auto"/>
                  <w:vAlign w:val="center"/>
                  <w:hideMark/>
                </w:tcPr>
                <w:p w14:paraId="5F91A007"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223,172</w:t>
                  </w:r>
                </w:p>
              </w:tc>
            </w:tr>
            <w:tr w:rsidR="00B21289" w:rsidRPr="00DD57E3" w14:paraId="238F501E" w14:textId="77777777" w:rsidTr="00B21289">
              <w:trPr>
                <w:trHeight w:val="20"/>
                <w:jc w:val="center"/>
              </w:trPr>
              <w:tc>
                <w:tcPr>
                  <w:tcW w:w="1313" w:type="dxa"/>
                  <w:tcBorders>
                    <w:top w:val="nil"/>
                    <w:left w:val="single" w:sz="4" w:space="0" w:color="auto"/>
                    <w:bottom w:val="single" w:sz="4" w:space="0" w:color="auto"/>
                    <w:right w:val="single" w:sz="4" w:space="0" w:color="auto"/>
                  </w:tcBorders>
                  <w:shd w:val="clear" w:color="000000" w:fill="D9D9D9"/>
                  <w:vAlign w:val="center"/>
                  <w:hideMark/>
                </w:tcPr>
                <w:p w14:paraId="6C5268CE" w14:textId="65178DDB" w:rsidR="00B21289" w:rsidRPr="00DD57E3" w:rsidRDefault="00B21289" w:rsidP="00B21289">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V</w:t>
                  </w:r>
                  <w:r w:rsidR="00355788" w:rsidRPr="00DD57E3">
                    <w:rPr>
                      <w:rFonts w:ascii="Times New Roman" w:eastAsia="Times New Roman" w:hAnsi="Times New Roman" w:cs="Times New Roman"/>
                      <w:b/>
                      <w:color w:val="000000"/>
                      <w:sz w:val="18"/>
                      <w:szCs w:val="18"/>
                      <w:lang w:val="ro-MD"/>
                    </w:rPr>
                    <w:t>G</w:t>
                  </w:r>
                  <w:r w:rsidRPr="00DD57E3">
                    <w:rPr>
                      <w:rFonts w:ascii="Times New Roman" w:eastAsia="Times New Roman" w:hAnsi="Times New Roman" w:cs="Times New Roman"/>
                      <w:b/>
                      <w:color w:val="000000"/>
                      <w:sz w:val="18"/>
                      <w:szCs w:val="18"/>
                      <w:lang w:val="ro-MD"/>
                    </w:rPr>
                    <w:t xml:space="preserve"> (N2 si N3)</w:t>
                  </w:r>
                </w:p>
              </w:tc>
              <w:tc>
                <w:tcPr>
                  <w:tcW w:w="744" w:type="dxa"/>
                  <w:tcBorders>
                    <w:top w:val="nil"/>
                    <w:left w:val="nil"/>
                    <w:bottom w:val="single" w:sz="4" w:space="0" w:color="auto"/>
                    <w:right w:val="single" w:sz="4" w:space="0" w:color="auto"/>
                  </w:tcBorders>
                  <w:shd w:val="clear" w:color="auto" w:fill="auto"/>
                  <w:vAlign w:val="center"/>
                  <w:hideMark/>
                </w:tcPr>
                <w:p w14:paraId="308B985B"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210</w:t>
                  </w:r>
                </w:p>
              </w:tc>
              <w:tc>
                <w:tcPr>
                  <w:tcW w:w="944" w:type="dxa"/>
                  <w:tcBorders>
                    <w:top w:val="nil"/>
                    <w:left w:val="nil"/>
                    <w:bottom w:val="single" w:sz="4" w:space="0" w:color="auto"/>
                    <w:right w:val="single" w:sz="4" w:space="0" w:color="auto"/>
                  </w:tcBorders>
                  <w:shd w:val="clear" w:color="auto" w:fill="auto"/>
                  <w:vAlign w:val="center"/>
                  <w:hideMark/>
                </w:tcPr>
                <w:p w14:paraId="766095B9"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13</w:t>
                  </w:r>
                </w:p>
              </w:tc>
              <w:tc>
                <w:tcPr>
                  <w:tcW w:w="744" w:type="dxa"/>
                  <w:tcBorders>
                    <w:top w:val="nil"/>
                    <w:left w:val="nil"/>
                    <w:bottom w:val="single" w:sz="4" w:space="0" w:color="auto"/>
                    <w:right w:val="single" w:sz="4" w:space="0" w:color="auto"/>
                  </w:tcBorders>
                  <w:shd w:val="clear" w:color="auto" w:fill="auto"/>
                  <w:vAlign w:val="center"/>
                  <w:hideMark/>
                </w:tcPr>
                <w:p w14:paraId="725CE306"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2,320</w:t>
                  </w:r>
                </w:p>
              </w:tc>
              <w:tc>
                <w:tcPr>
                  <w:tcW w:w="944" w:type="dxa"/>
                  <w:tcBorders>
                    <w:top w:val="nil"/>
                    <w:left w:val="nil"/>
                    <w:bottom w:val="single" w:sz="4" w:space="0" w:color="auto"/>
                    <w:right w:val="single" w:sz="4" w:space="0" w:color="auto"/>
                  </w:tcBorders>
                  <w:shd w:val="clear" w:color="auto" w:fill="auto"/>
                  <w:vAlign w:val="center"/>
                  <w:hideMark/>
                </w:tcPr>
                <w:p w14:paraId="707E5117"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2,320</w:t>
                  </w:r>
                </w:p>
              </w:tc>
              <w:tc>
                <w:tcPr>
                  <w:tcW w:w="834" w:type="dxa"/>
                  <w:tcBorders>
                    <w:top w:val="nil"/>
                    <w:left w:val="nil"/>
                    <w:bottom w:val="single" w:sz="4" w:space="0" w:color="auto"/>
                    <w:right w:val="single" w:sz="4" w:space="0" w:color="auto"/>
                  </w:tcBorders>
                  <w:shd w:val="clear" w:color="auto" w:fill="auto"/>
                  <w:vAlign w:val="center"/>
                  <w:hideMark/>
                </w:tcPr>
                <w:p w14:paraId="38F9DF8F"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487,200</w:t>
                  </w:r>
                </w:p>
              </w:tc>
              <w:tc>
                <w:tcPr>
                  <w:tcW w:w="944" w:type="dxa"/>
                  <w:tcBorders>
                    <w:top w:val="nil"/>
                    <w:left w:val="nil"/>
                    <w:bottom w:val="single" w:sz="4" w:space="0" w:color="auto"/>
                    <w:right w:val="single" w:sz="4" w:space="0" w:color="auto"/>
                  </w:tcBorders>
                  <w:shd w:val="clear" w:color="auto" w:fill="auto"/>
                  <w:vAlign w:val="center"/>
                  <w:hideMark/>
                </w:tcPr>
                <w:p w14:paraId="650242B2"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30,160</w:t>
                  </w:r>
                </w:p>
              </w:tc>
              <w:tc>
                <w:tcPr>
                  <w:tcW w:w="744" w:type="dxa"/>
                  <w:tcBorders>
                    <w:top w:val="nil"/>
                    <w:left w:val="nil"/>
                    <w:bottom w:val="single" w:sz="4" w:space="0" w:color="auto"/>
                    <w:right w:val="single" w:sz="4" w:space="0" w:color="auto"/>
                  </w:tcBorders>
                  <w:shd w:val="clear" w:color="auto" w:fill="auto"/>
                  <w:vAlign w:val="center"/>
                  <w:hideMark/>
                </w:tcPr>
                <w:p w14:paraId="22C58706"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793</w:t>
                  </w:r>
                </w:p>
              </w:tc>
              <w:tc>
                <w:tcPr>
                  <w:tcW w:w="944" w:type="dxa"/>
                  <w:tcBorders>
                    <w:top w:val="nil"/>
                    <w:left w:val="nil"/>
                    <w:bottom w:val="single" w:sz="4" w:space="0" w:color="auto"/>
                    <w:right w:val="single" w:sz="4" w:space="0" w:color="auto"/>
                  </w:tcBorders>
                  <w:shd w:val="clear" w:color="auto" w:fill="auto"/>
                  <w:vAlign w:val="center"/>
                  <w:hideMark/>
                </w:tcPr>
                <w:p w14:paraId="0ED9BB49"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539</w:t>
                  </w:r>
                </w:p>
              </w:tc>
              <w:tc>
                <w:tcPr>
                  <w:tcW w:w="834" w:type="dxa"/>
                  <w:tcBorders>
                    <w:top w:val="nil"/>
                    <w:left w:val="nil"/>
                    <w:bottom w:val="single" w:sz="4" w:space="0" w:color="auto"/>
                    <w:right w:val="single" w:sz="4" w:space="0" w:color="auto"/>
                  </w:tcBorders>
                  <w:shd w:val="clear" w:color="auto" w:fill="auto"/>
                  <w:vAlign w:val="center"/>
                  <w:hideMark/>
                </w:tcPr>
                <w:p w14:paraId="51F2ABA5"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832,818</w:t>
                  </w:r>
                </w:p>
              </w:tc>
              <w:tc>
                <w:tcPr>
                  <w:tcW w:w="1360" w:type="dxa"/>
                  <w:tcBorders>
                    <w:top w:val="nil"/>
                    <w:left w:val="nil"/>
                    <w:bottom w:val="single" w:sz="4" w:space="0" w:color="auto"/>
                    <w:right w:val="single" w:sz="4" w:space="0" w:color="auto"/>
                  </w:tcBorders>
                  <w:shd w:val="clear" w:color="auto" w:fill="auto"/>
                  <w:vAlign w:val="center"/>
                  <w:hideMark/>
                </w:tcPr>
                <w:p w14:paraId="65AFC7C2"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35,019</w:t>
                  </w:r>
                </w:p>
              </w:tc>
            </w:tr>
            <w:tr w:rsidR="00B21289" w:rsidRPr="00DD57E3" w14:paraId="09DFF6E0" w14:textId="77777777" w:rsidTr="00B21289">
              <w:trPr>
                <w:trHeight w:val="20"/>
                <w:jc w:val="center"/>
              </w:trPr>
              <w:tc>
                <w:tcPr>
                  <w:tcW w:w="1313" w:type="dxa"/>
                  <w:tcBorders>
                    <w:top w:val="nil"/>
                    <w:left w:val="single" w:sz="4" w:space="0" w:color="auto"/>
                    <w:bottom w:val="single" w:sz="4" w:space="0" w:color="auto"/>
                    <w:right w:val="single" w:sz="4" w:space="0" w:color="auto"/>
                  </w:tcBorders>
                  <w:shd w:val="clear" w:color="000000" w:fill="D9D9D9"/>
                  <w:vAlign w:val="center"/>
                  <w:hideMark/>
                </w:tcPr>
                <w:p w14:paraId="4C01654A" w14:textId="53A9F8A1" w:rsidR="00B21289" w:rsidRPr="00DD57E3" w:rsidRDefault="00B21289" w:rsidP="00B21289">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BUS (M3)</w:t>
                  </w:r>
                </w:p>
              </w:tc>
              <w:tc>
                <w:tcPr>
                  <w:tcW w:w="744" w:type="dxa"/>
                  <w:tcBorders>
                    <w:top w:val="nil"/>
                    <w:left w:val="nil"/>
                    <w:bottom w:val="single" w:sz="4" w:space="0" w:color="auto"/>
                    <w:right w:val="single" w:sz="4" w:space="0" w:color="auto"/>
                  </w:tcBorders>
                  <w:shd w:val="clear" w:color="auto" w:fill="auto"/>
                  <w:vAlign w:val="center"/>
                  <w:hideMark/>
                </w:tcPr>
                <w:p w14:paraId="6C97B247"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71</w:t>
                  </w:r>
                </w:p>
              </w:tc>
              <w:tc>
                <w:tcPr>
                  <w:tcW w:w="944" w:type="dxa"/>
                  <w:tcBorders>
                    <w:top w:val="nil"/>
                    <w:left w:val="nil"/>
                    <w:bottom w:val="single" w:sz="4" w:space="0" w:color="auto"/>
                    <w:right w:val="single" w:sz="4" w:space="0" w:color="auto"/>
                  </w:tcBorders>
                  <w:shd w:val="clear" w:color="auto" w:fill="auto"/>
                  <w:vAlign w:val="center"/>
                  <w:hideMark/>
                </w:tcPr>
                <w:p w14:paraId="129F4B4D"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60</w:t>
                  </w:r>
                </w:p>
              </w:tc>
              <w:tc>
                <w:tcPr>
                  <w:tcW w:w="744" w:type="dxa"/>
                  <w:tcBorders>
                    <w:top w:val="nil"/>
                    <w:left w:val="nil"/>
                    <w:bottom w:val="single" w:sz="4" w:space="0" w:color="auto"/>
                    <w:right w:val="single" w:sz="4" w:space="0" w:color="auto"/>
                  </w:tcBorders>
                  <w:shd w:val="clear" w:color="auto" w:fill="auto"/>
                  <w:vAlign w:val="center"/>
                  <w:hideMark/>
                </w:tcPr>
                <w:p w14:paraId="0418860B"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5,561</w:t>
                  </w:r>
                </w:p>
              </w:tc>
              <w:tc>
                <w:tcPr>
                  <w:tcW w:w="944" w:type="dxa"/>
                  <w:tcBorders>
                    <w:top w:val="nil"/>
                    <w:left w:val="nil"/>
                    <w:bottom w:val="single" w:sz="4" w:space="0" w:color="auto"/>
                    <w:right w:val="single" w:sz="4" w:space="0" w:color="auto"/>
                  </w:tcBorders>
                  <w:shd w:val="clear" w:color="auto" w:fill="auto"/>
                  <w:vAlign w:val="center"/>
                  <w:hideMark/>
                </w:tcPr>
                <w:p w14:paraId="3BDB08E5"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11,400</w:t>
                  </w:r>
                </w:p>
              </w:tc>
              <w:tc>
                <w:tcPr>
                  <w:tcW w:w="834" w:type="dxa"/>
                  <w:tcBorders>
                    <w:top w:val="nil"/>
                    <w:left w:val="nil"/>
                    <w:bottom w:val="single" w:sz="4" w:space="0" w:color="auto"/>
                    <w:right w:val="single" w:sz="4" w:space="0" w:color="auto"/>
                  </w:tcBorders>
                  <w:shd w:val="clear" w:color="auto" w:fill="auto"/>
                  <w:vAlign w:val="center"/>
                  <w:hideMark/>
                </w:tcPr>
                <w:p w14:paraId="5CF11C2C"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394,817</w:t>
                  </w:r>
                </w:p>
              </w:tc>
              <w:tc>
                <w:tcPr>
                  <w:tcW w:w="944" w:type="dxa"/>
                  <w:tcBorders>
                    <w:top w:val="nil"/>
                    <w:left w:val="nil"/>
                    <w:bottom w:val="single" w:sz="4" w:space="0" w:color="auto"/>
                    <w:right w:val="single" w:sz="4" w:space="0" w:color="auto"/>
                  </w:tcBorders>
                  <w:shd w:val="clear" w:color="auto" w:fill="auto"/>
                  <w:vAlign w:val="center"/>
                  <w:hideMark/>
                </w:tcPr>
                <w:p w14:paraId="28D29BCD"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684,000</w:t>
                  </w:r>
                </w:p>
              </w:tc>
              <w:tc>
                <w:tcPr>
                  <w:tcW w:w="744" w:type="dxa"/>
                  <w:tcBorders>
                    <w:top w:val="nil"/>
                    <w:left w:val="nil"/>
                    <w:bottom w:val="single" w:sz="4" w:space="0" w:color="auto"/>
                    <w:right w:val="single" w:sz="4" w:space="0" w:color="auto"/>
                  </w:tcBorders>
                  <w:shd w:val="clear" w:color="auto" w:fill="auto"/>
                  <w:vAlign w:val="center"/>
                  <w:hideMark/>
                </w:tcPr>
                <w:p w14:paraId="32AFDCD1"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1,964</w:t>
                  </w:r>
                </w:p>
              </w:tc>
              <w:tc>
                <w:tcPr>
                  <w:tcW w:w="944" w:type="dxa"/>
                  <w:tcBorders>
                    <w:top w:val="nil"/>
                    <w:left w:val="nil"/>
                    <w:bottom w:val="single" w:sz="4" w:space="0" w:color="auto"/>
                    <w:right w:val="single" w:sz="4" w:space="0" w:color="auto"/>
                  </w:tcBorders>
                  <w:shd w:val="clear" w:color="auto" w:fill="auto"/>
                  <w:vAlign w:val="center"/>
                  <w:hideMark/>
                </w:tcPr>
                <w:p w14:paraId="1FB7137F"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1,762</w:t>
                  </w:r>
                </w:p>
              </w:tc>
              <w:tc>
                <w:tcPr>
                  <w:tcW w:w="834" w:type="dxa"/>
                  <w:tcBorders>
                    <w:top w:val="nil"/>
                    <w:left w:val="nil"/>
                    <w:bottom w:val="single" w:sz="4" w:space="0" w:color="auto"/>
                    <w:right w:val="single" w:sz="4" w:space="0" w:color="auto"/>
                  </w:tcBorders>
                  <w:shd w:val="clear" w:color="auto" w:fill="auto"/>
                  <w:vAlign w:val="center"/>
                  <w:hideMark/>
                </w:tcPr>
                <w:p w14:paraId="4D73B33F"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697,052</w:t>
                  </w:r>
                </w:p>
              </w:tc>
              <w:tc>
                <w:tcPr>
                  <w:tcW w:w="1360" w:type="dxa"/>
                  <w:tcBorders>
                    <w:top w:val="nil"/>
                    <w:left w:val="nil"/>
                    <w:bottom w:val="single" w:sz="4" w:space="0" w:color="auto"/>
                    <w:right w:val="single" w:sz="4" w:space="0" w:color="auto"/>
                  </w:tcBorders>
                  <w:shd w:val="clear" w:color="auto" w:fill="auto"/>
                  <w:vAlign w:val="center"/>
                  <w:hideMark/>
                </w:tcPr>
                <w:p w14:paraId="6AB055FF"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528,702</w:t>
                  </w:r>
                </w:p>
              </w:tc>
            </w:tr>
            <w:tr w:rsidR="00B21289" w:rsidRPr="00DD57E3" w14:paraId="7A324DDE" w14:textId="77777777" w:rsidTr="00B21289">
              <w:trPr>
                <w:trHeight w:val="20"/>
                <w:jc w:val="center"/>
              </w:trPr>
              <w:tc>
                <w:tcPr>
                  <w:tcW w:w="1313" w:type="dxa"/>
                  <w:tcBorders>
                    <w:top w:val="nil"/>
                    <w:left w:val="single" w:sz="4" w:space="0" w:color="auto"/>
                    <w:bottom w:val="single" w:sz="4" w:space="0" w:color="auto"/>
                    <w:right w:val="single" w:sz="4" w:space="0" w:color="auto"/>
                  </w:tcBorders>
                  <w:shd w:val="clear" w:color="000000" w:fill="D9D9D9"/>
                  <w:vAlign w:val="center"/>
                  <w:hideMark/>
                </w:tcPr>
                <w:p w14:paraId="700E9DAE" w14:textId="77777777" w:rsidR="00B21289" w:rsidRPr="00DD57E3" w:rsidRDefault="00B21289" w:rsidP="00B21289">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Total</w:t>
                  </w:r>
                </w:p>
              </w:tc>
              <w:tc>
                <w:tcPr>
                  <w:tcW w:w="3376" w:type="dxa"/>
                  <w:gridSpan w:val="4"/>
                  <w:tcBorders>
                    <w:top w:val="single" w:sz="4" w:space="0" w:color="auto"/>
                    <w:left w:val="nil"/>
                    <w:bottom w:val="single" w:sz="4" w:space="0" w:color="auto"/>
                    <w:right w:val="single" w:sz="4" w:space="0" w:color="000000"/>
                  </w:tcBorders>
                  <w:shd w:val="clear" w:color="auto" w:fill="auto"/>
                  <w:vAlign w:val="center"/>
                  <w:hideMark/>
                </w:tcPr>
                <w:p w14:paraId="7BC3FFCA" w14:textId="77777777" w:rsidR="00B21289" w:rsidRPr="00DD57E3" w:rsidRDefault="00B21289" w:rsidP="00B21289">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 </w:t>
                  </w:r>
                </w:p>
              </w:tc>
              <w:tc>
                <w:tcPr>
                  <w:tcW w:w="834" w:type="dxa"/>
                  <w:tcBorders>
                    <w:top w:val="nil"/>
                    <w:left w:val="nil"/>
                    <w:bottom w:val="single" w:sz="4" w:space="0" w:color="auto"/>
                    <w:right w:val="single" w:sz="4" w:space="0" w:color="auto"/>
                  </w:tcBorders>
                  <w:shd w:val="clear" w:color="auto" w:fill="auto"/>
                  <w:vAlign w:val="center"/>
                  <w:hideMark/>
                </w:tcPr>
                <w:p w14:paraId="2938D1A9"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1,508,561</w:t>
                  </w:r>
                </w:p>
              </w:tc>
              <w:tc>
                <w:tcPr>
                  <w:tcW w:w="944" w:type="dxa"/>
                  <w:tcBorders>
                    <w:top w:val="nil"/>
                    <w:left w:val="nil"/>
                    <w:bottom w:val="single" w:sz="4" w:space="0" w:color="auto"/>
                    <w:right w:val="single" w:sz="4" w:space="0" w:color="auto"/>
                  </w:tcBorders>
                  <w:shd w:val="clear" w:color="auto" w:fill="auto"/>
                  <w:vAlign w:val="center"/>
                  <w:hideMark/>
                </w:tcPr>
                <w:p w14:paraId="03CFFBD1"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829,435</w:t>
                  </w:r>
                </w:p>
              </w:tc>
              <w:tc>
                <w:tcPr>
                  <w:tcW w:w="1688" w:type="dxa"/>
                  <w:gridSpan w:val="2"/>
                  <w:tcBorders>
                    <w:top w:val="single" w:sz="4" w:space="0" w:color="auto"/>
                    <w:left w:val="nil"/>
                    <w:bottom w:val="single" w:sz="4" w:space="0" w:color="auto"/>
                    <w:right w:val="single" w:sz="4" w:space="0" w:color="000000"/>
                  </w:tcBorders>
                  <w:shd w:val="clear" w:color="auto" w:fill="auto"/>
                  <w:vAlign w:val="bottom"/>
                  <w:hideMark/>
                </w:tcPr>
                <w:p w14:paraId="5CFC35F9" w14:textId="77777777" w:rsidR="00B21289" w:rsidRPr="00DD57E3" w:rsidRDefault="00B21289" w:rsidP="00B21289">
                  <w:pPr>
                    <w:spacing w:after="0" w:line="240" w:lineRule="auto"/>
                    <w:jc w:val="center"/>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 </w:t>
                  </w:r>
                </w:p>
              </w:tc>
              <w:tc>
                <w:tcPr>
                  <w:tcW w:w="834" w:type="dxa"/>
                  <w:tcBorders>
                    <w:top w:val="nil"/>
                    <w:left w:val="nil"/>
                    <w:bottom w:val="single" w:sz="4" w:space="0" w:color="auto"/>
                    <w:right w:val="single" w:sz="4" w:space="0" w:color="auto"/>
                  </w:tcBorders>
                  <w:shd w:val="clear" w:color="auto" w:fill="auto"/>
                  <w:vAlign w:val="center"/>
                  <w:hideMark/>
                </w:tcPr>
                <w:p w14:paraId="52AF8260"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3,774,436</w:t>
                  </w:r>
                </w:p>
              </w:tc>
              <w:tc>
                <w:tcPr>
                  <w:tcW w:w="1360" w:type="dxa"/>
                  <w:tcBorders>
                    <w:top w:val="nil"/>
                    <w:left w:val="nil"/>
                    <w:bottom w:val="single" w:sz="4" w:space="0" w:color="auto"/>
                    <w:right w:val="single" w:sz="4" w:space="0" w:color="auto"/>
                  </w:tcBorders>
                  <w:shd w:val="clear" w:color="auto" w:fill="auto"/>
                  <w:vAlign w:val="center"/>
                  <w:hideMark/>
                </w:tcPr>
                <w:p w14:paraId="32296C73" w14:textId="77777777" w:rsidR="00B21289" w:rsidRPr="00DD57E3" w:rsidRDefault="00B21289" w:rsidP="00B21289">
                  <w:pPr>
                    <w:spacing w:after="0" w:line="240" w:lineRule="auto"/>
                    <w:jc w:val="right"/>
                    <w:rPr>
                      <w:rFonts w:ascii="Times New Roman" w:eastAsia="Times New Roman" w:hAnsi="Times New Roman" w:cs="Times New Roman"/>
                      <w:color w:val="000000"/>
                      <w:sz w:val="18"/>
                      <w:szCs w:val="18"/>
                      <w:lang w:val="ro-MD"/>
                    </w:rPr>
                  </w:pPr>
                  <w:r w:rsidRPr="00DD57E3">
                    <w:rPr>
                      <w:rFonts w:ascii="Times New Roman" w:eastAsia="Times New Roman" w:hAnsi="Times New Roman" w:cs="Times New Roman"/>
                      <w:color w:val="000000"/>
                      <w:sz w:val="18"/>
                      <w:szCs w:val="18"/>
                      <w:lang w:val="ro-MD"/>
                    </w:rPr>
                    <w:t>786,894</w:t>
                  </w:r>
                </w:p>
              </w:tc>
            </w:tr>
            <w:tr w:rsidR="00B21289" w:rsidRPr="00DD57E3" w14:paraId="113E99A0" w14:textId="77777777" w:rsidTr="00B21289">
              <w:trPr>
                <w:trHeight w:val="20"/>
                <w:jc w:val="center"/>
              </w:trPr>
              <w:tc>
                <w:tcPr>
                  <w:tcW w:w="8989"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14:paraId="76E23289" w14:textId="77777777" w:rsidR="00B21289" w:rsidRPr="00DD57E3" w:rsidRDefault="00B21289" w:rsidP="00B21289">
                  <w:pPr>
                    <w:spacing w:after="0" w:line="240" w:lineRule="auto"/>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Grand Total (CAPEX+OPEX - 2026-2030)</w:t>
                  </w:r>
                </w:p>
              </w:tc>
              <w:tc>
                <w:tcPr>
                  <w:tcW w:w="1360" w:type="dxa"/>
                  <w:tcBorders>
                    <w:top w:val="nil"/>
                    <w:left w:val="nil"/>
                    <w:bottom w:val="single" w:sz="4" w:space="0" w:color="auto"/>
                    <w:right w:val="single" w:sz="4" w:space="0" w:color="auto"/>
                  </w:tcBorders>
                  <w:shd w:val="clear" w:color="auto" w:fill="auto"/>
                  <w:vAlign w:val="center"/>
                  <w:hideMark/>
                </w:tcPr>
                <w:p w14:paraId="5EB99965" w14:textId="77777777" w:rsidR="00B21289" w:rsidRPr="00DD57E3" w:rsidRDefault="00B21289" w:rsidP="00B21289">
                  <w:pPr>
                    <w:spacing w:after="0" w:line="240" w:lineRule="auto"/>
                    <w:jc w:val="right"/>
                    <w:rPr>
                      <w:rFonts w:ascii="Times New Roman" w:eastAsia="Times New Roman" w:hAnsi="Times New Roman" w:cs="Times New Roman"/>
                      <w:b/>
                      <w:color w:val="000000"/>
                      <w:sz w:val="18"/>
                      <w:szCs w:val="18"/>
                      <w:lang w:val="ro-MD"/>
                    </w:rPr>
                  </w:pPr>
                  <w:r w:rsidRPr="00DD57E3">
                    <w:rPr>
                      <w:rFonts w:ascii="Times New Roman" w:eastAsia="Times New Roman" w:hAnsi="Times New Roman" w:cs="Times New Roman"/>
                      <w:b/>
                      <w:color w:val="000000"/>
                      <w:sz w:val="18"/>
                      <w:szCs w:val="18"/>
                      <w:lang w:val="ro-MD"/>
                    </w:rPr>
                    <w:t>6,899,326</w:t>
                  </w:r>
                </w:p>
              </w:tc>
            </w:tr>
          </w:tbl>
          <w:p w14:paraId="424D8F05" w14:textId="77777777" w:rsidR="00B21289" w:rsidRPr="00DD57E3" w:rsidRDefault="00B21289" w:rsidP="00447B3D">
            <w:pPr>
              <w:spacing w:before="100" w:after="100" w:line="259" w:lineRule="auto"/>
              <w:jc w:val="both"/>
              <w:rPr>
                <w:rFonts w:ascii="Times New Roman" w:hAnsi="Times New Roman" w:cs="Times New Roman"/>
                <w:bCs/>
                <w:iCs/>
                <w:sz w:val="24"/>
                <w:szCs w:val="24"/>
                <w:lang w:val="ro-MD"/>
              </w:rPr>
            </w:pPr>
          </w:p>
          <w:p w14:paraId="34558347" w14:textId="77777777" w:rsidR="00447B3D" w:rsidRPr="00DD57E3" w:rsidRDefault="00447B3D" w:rsidP="00447B3D">
            <w:pPr>
              <w:spacing w:before="100" w:after="100" w:line="259"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Astfel, deși diferența de CAPEX între cele două scenarii este de 61,5 milioane MDL (3,15 milioane EUR), aceasta este marginală în comparație cu CAPEX total, care este de 2,044 miliarde MDL în scenariul BAU și 2,105 miliarde MDL în scenariul moderat.</w:t>
            </w:r>
          </w:p>
          <w:p w14:paraId="642AA720" w14:textId="14A6DD0E" w:rsidR="00447B3D" w:rsidRPr="00DD57E3" w:rsidRDefault="00447B3D" w:rsidP="00447B3D">
            <w:pPr>
              <w:spacing w:before="100" w:after="100" w:line="259"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Mai mult decât atât, analiza costurilor totale (CAPEX și OPEX) arată că scenariul moderat este ușor mai eficient decât scenariul BAU:</w:t>
            </w:r>
          </w:p>
          <w:p w14:paraId="4F628223" w14:textId="77777777" w:rsidR="00447B3D" w:rsidRPr="00DD57E3" w:rsidRDefault="00447B3D" w:rsidP="00C108FB">
            <w:pPr>
              <w:pStyle w:val="a4"/>
              <w:numPr>
                <w:ilvl w:val="0"/>
                <w:numId w:val="29"/>
              </w:numPr>
              <w:spacing w:before="100" w:after="100" w:line="259" w:lineRule="auto"/>
              <w:jc w:val="both"/>
              <w:rPr>
                <w:rFonts w:cs="Times New Roman"/>
                <w:bCs/>
                <w:iCs/>
                <w:szCs w:val="24"/>
                <w:lang w:val="ro-MD"/>
              </w:rPr>
            </w:pPr>
            <w:r w:rsidRPr="00DD57E3">
              <w:rPr>
                <w:rFonts w:cs="Times New Roman"/>
                <w:bCs/>
                <w:iCs/>
                <w:szCs w:val="24"/>
                <w:lang w:val="ro-MD"/>
              </w:rPr>
              <w:t>Scenariul „de a nu face nimic” (BAU): 6,701 miliarde MDL</w:t>
            </w:r>
          </w:p>
          <w:p w14:paraId="112758B3" w14:textId="77777777" w:rsidR="00447B3D" w:rsidRPr="00DD57E3" w:rsidRDefault="00447B3D" w:rsidP="00C108FB">
            <w:pPr>
              <w:pStyle w:val="a4"/>
              <w:numPr>
                <w:ilvl w:val="0"/>
                <w:numId w:val="29"/>
              </w:numPr>
              <w:spacing w:before="100" w:after="100" w:line="259" w:lineRule="auto"/>
              <w:jc w:val="both"/>
              <w:rPr>
                <w:rFonts w:cs="Times New Roman"/>
                <w:bCs/>
                <w:iCs/>
                <w:szCs w:val="24"/>
                <w:lang w:val="ro-MD"/>
              </w:rPr>
            </w:pPr>
            <w:r w:rsidRPr="00DD57E3">
              <w:rPr>
                <w:rFonts w:cs="Times New Roman"/>
                <w:bCs/>
                <w:iCs/>
                <w:szCs w:val="24"/>
                <w:lang w:val="ro-MD"/>
              </w:rPr>
              <w:t>Scenariul moderat: 6,700 miliarde MDL</w:t>
            </w:r>
          </w:p>
          <w:p w14:paraId="26198677" w14:textId="2D8298A8" w:rsidR="00447B3D" w:rsidRPr="00DD57E3" w:rsidRDefault="00447B3D" w:rsidP="00447B3D">
            <w:pPr>
              <w:spacing w:before="100" w:after="100" w:line="259"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Această concluzie demonstrează că, în ciuda unei investiții inițiale mai mari, economiile de operare și mentenanță ale vehiculelor nepoluante compensează diferențele de cost pe termen mediu (5 ani). Pe termen lung, scenariul moderat ar putea deveni și mai avantajos, în special dacă sunt implementate scheme de sprijin financiar sau măsuri pentru stimularea investițiilor în infrastructura necesară.</w:t>
            </w:r>
          </w:p>
          <w:p w14:paraId="034F741B" w14:textId="4075DA39" w:rsidR="00D91B9B" w:rsidRPr="00DD57E3" w:rsidRDefault="00D91B9B">
            <w:pPr>
              <w:tabs>
                <w:tab w:val="left" w:pos="990"/>
              </w:tabs>
              <w:spacing w:before="100" w:after="0" w:line="240" w:lineRule="auto"/>
              <w:jc w:val="both"/>
              <w:rPr>
                <w:rFonts w:ascii="Times New Roman" w:hAnsi="Times New Roman" w:cs="Times New Roman"/>
                <w:bCs/>
                <w:i/>
                <w:iCs/>
                <w:sz w:val="24"/>
                <w:szCs w:val="24"/>
                <w:lang w:val="ro-MD"/>
              </w:rPr>
            </w:pPr>
            <w:r w:rsidRPr="00DD57E3">
              <w:rPr>
                <w:rFonts w:ascii="Times New Roman" w:hAnsi="Times New Roman" w:cs="Times New Roman"/>
                <w:bCs/>
                <w:iCs/>
                <w:sz w:val="24"/>
                <w:szCs w:val="24"/>
                <w:lang w:val="ro-MD"/>
              </w:rPr>
              <w:t>Surse de finan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are ar putea fi atât bugetare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cât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extrabugetare, precum:</w:t>
            </w:r>
          </w:p>
          <w:p w14:paraId="1A25E11D" w14:textId="1E3E491C" w:rsidR="00D91B9B" w:rsidRPr="00DD57E3" w:rsidRDefault="00D91B9B">
            <w:pPr>
              <w:tabs>
                <w:tab w:val="left" w:pos="990"/>
              </w:tabs>
              <w:spacing w:after="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investi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bugetare, prin alocarea fondurilor în bugetul public na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ional;</w:t>
            </w:r>
          </w:p>
          <w:p w14:paraId="3A39DCF2" w14:textId="1BA2490C" w:rsidR="00D91B9B" w:rsidRPr="00DD57E3" w:rsidRDefault="00D91B9B">
            <w:pPr>
              <w:tabs>
                <w:tab w:val="left" w:pos="990"/>
              </w:tabs>
              <w:spacing w:after="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investi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combinate – alocarea fondurilor din bugetul public na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ional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din bugetele publice locale;</w:t>
            </w:r>
          </w:p>
          <w:p w14:paraId="58DDFE5D" w14:textId="34E44CC7" w:rsidR="00D91B9B" w:rsidRPr="00DD57E3" w:rsidRDefault="00D91B9B">
            <w:pPr>
              <w:tabs>
                <w:tab w:val="left" w:pos="990"/>
              </w:tabs>
              <w:spacing w:after="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investi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private – în cazul entită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ilor publice private;</w:t>
            </w:r>
          </w:p>
          <w:p w14:paraId="57741671" w14:textId="7A46C946" w:rsidR="00D91B9B" w:rsidRPr="00DD57E3" w:rsidRDefault="00D91B9B">
            <w:pPr>
              <w:tabs>
                <w:tab w:val="left" w:pos="990"/>
              </w:tabs>
              <w:spacing w:after="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atragerea de fonduri europene (există o serie de instrumente sau mecanisme de finan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are prevăzute de către Uniunea Europeană destinate pentru eficien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a energetică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decarbonizarea sectorului transporturilor).</w:t>
            </w:r>
          </w:p>
          <w:p w14:paraId="1B8DD308" w14:textId="24C6EF08" w:rsidR="00D91B9B" w:rsidRPr="00DD57E3" w:rsidRDefault="00D91B9B">
            <w:pPr>
              <w:tabs>
                <w:tab w:val="left" w:pos="990"/>
              </w:tabs>
              <w:spacing w:before="100" w:after="100" w:line="240" w:lineRule="auto"/>
              <w:jc w:val="both"/>
              <w:rPr>
                <w:rFonts w:ascii="Times New Roman" w:hAnsi="Times New Roman" w:cs="Times New Roman"/>
                <w:noProof/>
                <w:kern w:val="2"/>
                <w:sz w:val="24"/>
                <w:lang w:val="ro-MD"/>
                <w14:ligatures w14:val="standardContextual"/>
              </w:rPr>
            </w:pPr>
            <w:r w:rsidRPr="00DD57E3">
              <w:rPr>
                <w:rFonts w:ascii="Times New Roman" w:hAnsi="Times New Roman" w:cs="Times New Roman"/>
                <w:bCs/>
                <w:iCs/>
                <w:sz w:val="24"/>
                <w:szCs w:val="24"/>
                <w:lang w:val="ro-MD"/>
              </w:rPr>
              <w:t>Urmează a fi valorificate toate oportunită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ile de finan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are interna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ională prevăzute pentru promovarea sectorul transportului durabil.</w:t>
            </w:r>
            <w:r w:rsidRPr="00DD57E3">
              <w:rPr>
                <w:rFonts w:ascii="Times New Roman" w:hAnsi="Times New Roman" w:cs="Times New Roman"/>
                <w:noProof/>
                <w:kern w:val="2"/>
                <w:sz w:val="24"/>
                <w:lang w:val="ro-MD"/>
                <w14:ligatures w14:val="standardContextual"/>
              </w:rPr>
              <w:t xml:space="preserve"> Uniunea Europeană alocă o gamă largă de fonduri pentru a sprijini procesul de tranzi</w:t>
            </w:r>
            <w:r w:rsidR="00D84F0C" w:rsidRPr="00DD57E3">
              <w:rPr>
                <w:rFonts w:ascii="Times New Roman" w:hAnsi="Times New Roman" w:cs="Times New Roman"/>
                <w:noProof/>
                <w:kern w:val="2"/>
                <w:sz w:val="24"/>
                <w:lang w:val="ro-MD"/>
                <w14:ligatures w14:val="standardContextual"/>
              </w:rPr>
              <w:t>ț</w:t>
            </w:r>
            <w:r w:rsidRPr="00DD57E3">
              <w:rPr>
                <w:rFonts w:ascii="Times New Roman" w:hAnsi="Times New Roman" w:cs="Times New Roman"/>
                <w:noProof/>
                <w:kern w:val="2"/>
                <w:sz w:val="24"/>
                <w:lang w:val="ro-MD"/>
                <w14:ligatures w14:val="standardContextual"/>
              </w:rPr>
              <w:t xml:space="preserve">ie către o mobilitate durabilă. </w:t>
            </w:r>
          </w:p>
          <w:p w14:paraId="2AE5958D" w14:textId="72CCDC15" w:rsidR="00D91B9B" w:rsidRPr="00DD57E3" w:rsidRDefault="00F21988">
            <w:pPr>
              <w:tabs>
                <w:tab w:val="left" w:pos="990"/>
              </w:tabs>
              <w:spacing w:after="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Be</w:t>
            </w:r>
            <w:r w:rsidR="00D91B9B" w:rsidRPr="00DD57E3">
              <w:rPr>
                <w:rFonts w:ascii="Times New Roman" w:hAnsi="Times New Roman" w:cs="Times New Roman"/>
                <w:bCs/>
                <w:iCs/>
                <w:sz w:val="24"/>
                <w:szCs w:val="24"/>
                <w:lang w:val="ro-MD"/>
              </w:rPr>
              <w:t xml:space="preserve">neficiile socio-economice </w:t>
            </w:r>
            <w:r w:rsidR="00D84F0C" w:rsidRPr="00DD57E3">
              <w:rPr>
                <w:rFonts w:ascii="Times New Roman" w:hAnsi="Times New Roman" w:cs="Times New Roman"/>
                <w:bCs/>
                <w:iCs/>
                <w:sz w:val="24"/>
                <w:szCs w:val="24"/>
                <w:lang w:val="ro-MD"/>
              </w:rPr>
              <w:t>ș</w:t>
            </w:r>
            <w:r w:rsidR="00D91B9B" w:rsidRPr="00DD57E3">
              <w:rPr>
                <w:rFonts w:ascii="Times New Roman" w:hAnsi="Times New Roman" w:cs="Times New Roman"/>
                <w:bCs/>
                <w:iCs/>
                <w:sz w:val="24"/>
                <w:szCs w:val="24"/>
                <w:lang w:val="ro-MD"/>
              </w:rPr>
              <w:t>i de mediu pe termen lung vor supracompensa costurile legate de cre</w:t>
            </w:r>
            <w:r w:rsidR="00D84F0C" w:rsidRPr="00DD57E3">
              <w:rPr>
                <w:rFonts w:ascii="Times New Roman" w:hAnsi="Times New Roman" w:cs="Times New Roman"/>
                <w:bCs/>
                <w:iCs/>
                <w:sz w:val="24"/>
                <w:szCs w:val="24"/>
                <w:lang w:val="ro-MD"/>
              </w:rPr>
              <w:t>ș</w:t>
            </w:r>
            <w:r w:rsidR="00D91B9B" w:rsidRPr="00DD57E3">
              <w:rPr>
                <w:rFonts w:ascii="Times New Roman" w:hAnsi="Times New Roman" w:cs="Times New Roman"/>
                <w:bCs/>
                <w:iCs/>
                <w:sz w:val="24"/>
                <w:szCs w:val="24"/>
                <w:lang w:val="ro-MD"/>
              </w:rPr>
              <w:t>terea ini</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ială a sarcinii financiare pentru autorită</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ile/entită</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ile contractante.</w:t>
            </w:r>
          </w:p>
          <w:p w14:paraId="32EACAAD" w14:textId="77777777" w:rsidR="00F639E7" w:rsidRPr="00DD57E3" w:rsidRDefault="00F639E7">
            <w:pPr>
              <w:tabs>
                <w:tab w:val="left" w:pos="990"/>
              </w:tabs>
              <w:spacing w:after="0" w:line="240" w:lineRule="auto"/>
              <w:jc w:val="both"/>
              <w:rPr>
                <w:rFonts w:ascii="Times New Roman" w:hAnsi="Times New Roman" w:cs="Times New Roman"/>
                <w:bCs/>
                <w:iCs/>
                <w:sz w:val="24"/>
                <w:szCs w:val="24"/>
                <w:lang w:val="ro-MD"/>
              </w:rPr>
            </w:pPr>
          </w:p>
          <w:p w14:paraId="3E167C66" w14:textId="77777777" w:rsidR="00F639E7" w:rsidRPr="00DD57E3" w:rsidRDefault="00F639E7">
            <w:pPr>
              <w:tabs>
                <w:tab w:val="left" w:pos="990"/>
              </w:tabs>
              <w:spacing w:after="0" w:line="240" w:lineRule="auto"/>
              <w:jc w:val="both"/>
              <w:rPr>
                <w:rFonts w:ascii="Times New Roman" w:hAnsi="Times New Roman" w:cs="Times New Roman"/>
                <w:bCs/>
                <w:iCs/>
                <w:sz w:val="24"/>
                <w:szCs w:val="24"/>
                <w:lang w:val="ro-MD"/>
              </w:rPr>
            </w:pPr>
          </w:p>
          <w:p w14:paraId="44A70C2D" w14:textId="77777777" w:rsidR="00D91B9B" w:rsidRPr="00DD57E3" w:rsidRDefault="00D91B9B">
            <w:pPr>
              <w:tabs>
                <w:tab w:val="left" w:pos="990"/>
              </w:tabs>
              <w:spacing w:before="120" w:after="120" w:line="240" w:lineRule="auto"/>
              <w:jc w:val="both"/>
              <w:rPr>
                <w:rFonts w:ascii="Times New Roman" w:hAnsi="Times New Roman" w:cs="Times New Roman"/>
                <w:b/>
                <w:i/>
                <w:sz w:val="24"/>
                <w:szCs w:val="24"/>
                <w:lang w:val="ro-MD"/>
              </w:rPr>
            </w:pPr>
            <w:bookmarkStart w:id="11" w:name="_Hlk191386265"/>
            <w:r w:rsidRPr="00DD57E3">
              <w:rPr>
                <w:rFonts w:ascii="Times New Roman" w:hAnsi="Times New Roman" w:cs="Times New Roman"/>
                <w:b/>
                <w:i/>
                <w:sz w:val="24"/>
                <w:szCs w:val="24"/>
                <w:lang w:val="ro-MD"/>
              </w:rPr>
              <w:t>4.3. Impactul asupra sectorului privat</w:t>
            </w:r>
          </w:p>
          <w:bookmarkEnd w:id="11"/>
          <w:p w14:paraId="578AFEE6" w14:textId="16D6D6AC" w:rsidR="00D91B9B" w:rsidRPr="00DD57E3" w:rsidRDefault="00A94B03">
            <w:pPr>
              <w:tabs>
                <w:tab w:val="left" w:pos="990"/>
              </w:tabs>
              <w:spacing w:after="12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Transpunerea Directivei 2009/33/CE în legisla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ia na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ională va avea mai multe implica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ii semnificative pentru sectorul privat, în special pentru operatorii de transport rutier, furnizorii de vehicule, furnizorii de infrastructură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institu</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iile financiare. Având în vedere că, în prezent, </w:t>
            </w:r>
            <w:r w:rsidR="008F002F" w:rsidRPr="00DD57E3">
              <w:rPr>
                <w:rFonts w:ascii="Times New Roman" w:hAnsi="Times New Roman" w:cs="Times New Roman"/>
                <w:bCs/>
                <w:iCs/>
                <w:sz w:val="24"/>
                <w:szCs w:val="24"/>
                <w:lang w:val="ro-MD"/>
              </w:rPr>
              <w:t xml:space="preserve">Republica </w:t>
            </w:r>
            <w:r w:rsidRPr="00DD57E3">
              <w:rPr>
                <w:rFonts w:ascii="Times New Roman" w:hAnsi="Times New Roman" w:cs="Times New Roman"/>
                <w:bCs/>
                <w:iCs/>
                <w:sz w:val="24"/>
                <w:szCs w:val="24"/>
                <w:lang w:val="ro-MD"/>
              </w:rPr>
              <w:t>Moldova nu are producători interni de vehicule sau infrastructură, impactul va fi resim</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it în mare măsură prin schimbări în dinamica pie</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ei, noi cerin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e în materie de achizi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ii publice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schimbări în cererea de tehnologii cu emisii reduse</w:t>
            </w:r>
            <w:r w:rsidR="00D91B9B" w:rsidRPr="00DD57E3">
              <w:rPr>
                <w:rFonts w:ascii="Times New Roman" w:hAnsi="Times New Roman" w:cs="Times New Roman"/>
                <w:bCs/>
                <w:iCs/>
                <w:sz w:val="24"/>
                <w:szCs w:val="24"/>
                <w:lang w:val="ro-MD"/>
              </w:rPr>
              <w:t>.</w:t>
            </w:r>
            <w:r w:rsidR="00D91B9B" w:rsidRPr="00DD57E3">
              <w:rPr>
                <w:rFonts w:ascii="Times New Roman" w:hAnsi="Times New Roman" w:cs="Times New Roman"/>
                <w:sz w:val="24"/>
                <w:szCs w:val="24"/>
                <w:lang w:val="ro-MD"/>
              </w:rPr>
              <w:t xml:space="preserve"> S</w:t>
            </w:r>
            <w:r w:rsidR="00D91B9B" w:rsidRPr="00DD57E3">
              <w:rPr>
                <w:rFonts w:ascii="Times New Roman" w:hAnsi="Times New Roman" w:cs="Times New Roman"/>
                <w:bCs/>
                <w:iCs/>
                <w:sz w:val="24"/>
                <w:szCs w:val="24"/>
                <w:lang w:val="ro-MD"/>
              </w:rPr>
              <w:t>timularea pie</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ei vehiculelor de transport rutier nepoluante, eficiente din punct de vedere energetic, în sprijinul unei mobilită</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 xml:space="preserve">i cu emisii reduse, cum ar fi autoturismele, autobuzele, autocarele </w:t>
            </w:r>
            <w:r w:rsidR="00D84F0C" w:rsidRPr="00DD57E3">
              <w:rPr>
                <w:rFonts w:ascii="Times New Roman" w:hAnsi="Times New Roman" w:cs="Times New Roman"/>
                <w:bCs/>
                <w:iCs/>
                <w:sz w:val="24"/>
                <w:szCs w:val="24"/>
                <w:lang w:val="ro-MD"/>
              </w:rPr>
              <w:t>ș</w:t>
            </w:r>
            <w:r w:rsidR="00D91B9B" w:rsidRPr="00DD57E3">
              <w:rPr>
                <w:rFonts w:ascii="Times New Roman" w:hAnsi="Times New Roman" w:cs="Times New Roman"/>
                <w:bCs/>
                <w:iCs/>
                <w:sz w:val="24"/>
                <w:szCs w:val="24"/>
                <w:lang w:val="ro-MD"/>
              </w:rPr>
              <w:t>i camioanele, va asigura un nivel suficient de ridicat al cererii pentru asemenea vehicule, fapt ce va încuraja</w:t>
            </w:r>
            <w:r w:rsidRPr="00DD57E3">
              <w:rPr>
                <w:rFonts w:ascii="Times New Roman" w:hAnsi="Times New Roman" w:cs="Times New Roman"/>
                <w:bCs/>
                <w:iCs/>
                <w:sz w:val="24"/>
                <w:szCs w:val="24"/>
                <w:lang w:val="ro-MD"/>
              </w:rPr>
              <w:t xml:space="preserve"> mediul de afaceri</w:t>
            </w:r>
            <w:r w:rsidR="00D91B9B" w:rsidRPr="00DD57E3">
              <w:rPr>
                <w:rFonts w:ascii="Times New Roman" w:hAnsi="Times New Roman" w:cs="Times New Roman"/>
                <w:bCs/>
                <w:iCs/>
                <w:sz w:val="24"/>
                <w:szCs w:val="24"/>
                <w:lang w:val="ro-MD"/>
              </w:rPr>
              <w:t xml:space="preserve"> să investească în noi tehnologii de a realiza vehicule cu un consum redus de energie </w:t>
            </w:r>
            <w:r w:rsidR="00D84F0C" w:rsidRPr="00DD57E3">
              <w:rPr>
                <w:rFonts w:ascii="Times New Roman" w:hAnsi="Times New Roman" w:cs="Times New Roman"/>
                <w:bCs/>
                <w:iCs/>
                <w:sz w:val="24"/>
                <w:szCs w:val="24"/>
                <w:lang w:val="ro-MD"/>
              </w:rPr>
              <w:t>ș</w:t>
            </w:r>
            <w:r w:rsidR="00D91B9B" w:rsidRPr="00DD57E3">
              <w:rPr>
                <w:rFonts w:ascii="Times New Roman" w:hAnsi="Times New Roman" w:cs="Times New Roman"/>
                <w:bCs/>
                <w:iCs/>
                <w:sz w:val="24"/>
                <w:szCs w:val="24"/>
                <w:lang w:val="ro-MD"/>
              </w:rPr>
              <w:t>i cu emisii reduse de CO</w:t>
            </w:r>
            <w:r w:rsidR="00D91B9B" w:rsidRPr="00DD57E3">
              <w:rPr>
                <w:rFonts w:ascii="Times New Roman" w:hAnsi="Times New Roman" w:cs="Times New Roman"/>
                <w:bCs/>
                <w:iCs/>
                <w:sz w:val="24"/>
                <w:szCs w:val="24"/>
                <w:vertAlign w:val="subscript"/>
                <w:lang w:val="ro-MD"/>
              </w:rPr>
              <w:t>2</w:t>
            </w:r>
            <w:r w:rsidR="00D91B9B" w:rsidRPr="00DD57E3">
              <w:rPr>
                <w:rFonts w:ascii="Times New Roman" w:hAnsi="Times New Roman" w:cs="Times New Roman"/>
                <w:bCs/>
                <w:iCs/>
                <w:sz w:val="24"/>
                <w:szCs w:val="24"/>
                <w:lang w:val="ro-MD"/>
              </w:rPr>
              <w:t xml:space="preserve"> </w:t>
            </w:r>
            <w:r w:rsidR="00D84F0C" w:rsidRPr="00DD57E3">
              <w:rPr>
                <w:rFonts w:ascii="Times New Roman" w:hAnsi="Times New Roman" w:cs="Times New Roman"/>
                <w:bCs/>
                <w:iCs/>
                <w:sz w:val="24"/>
                <w:szCs w:val="24"/>
                <w:lang w:val="ro-MD"/>
              </w:rPr>
              <w:t>ș</w:t>
            </w:r>
            <w:r w:rsidR="00D91B9B" w:rsidRPr="00DD57E3">
              <w:rPr>
                <w:rFonts w:ascii="Times New Roman" w:hAnsi="Times New Roman" w:cs="Times New Roman"/>
                <w:bCs/>
                <w:iCs/>
                <w:sz w:val="24"/>
                <w:szCs w:val="24"/>
                <w:lang w:val="ro-MD"/>
              </w:rPr>
              <w:t>i de al</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i poluan</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i, care va spori op</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 xml:space="preserve">iunile </w:t>
            </w:r>
            <w:r w:rsidR="00D84F0C" w:rsidRPr="00DD57E3">
              <w:rPr>
                <w:rFonts w:ascii="Times New Roman" w:hAnsi="Times New Roman" w:cs="Times New Roman"/>
                <w:bCs/>
                <w:iCs/>
                <w:sz w:val="24"/>
                <w:szCs w:val="24"/>
                <w:lang w:val="ro-MD"/>
              </w:rPr>
              <w:t>ș</w:t>
            </w:r>
            <w:r w:rsidR="00D91B9B" w:rsidRPr="00DD57E3">
              <w:rPr>
                <w:rFonts w:ascii="Times New Roman" w:hAnsi="Times New Roman" w:cs="Times New Roman"/>
                <w:bCs/>
                <w:iCs/>
                <w:sz w:val="24"/>
                <w:szCs w:val="24"/>
                <w:lang w:val="ro-MD"/>
              </w:rPr>
              <w:t>i concuren</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a pe aceste pie</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e, iar pe cale de consecin</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ă va permite reducerea pre</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urilor la asemenea vehicule.</w:t>
            </w:r>
          </w:p>
          <w:p w14:paraId="43638BB6" w14:textId="47BCE106" w:rsidR="00A94B03" w:rsidRPr="00DD57E3" w:rsidRDefault="00A94B03" w:rsidP="00A94B03">
            <w:pPr>
              <w:tabs>
                <w:tab w:val="left" w:pos="990"/>
              </w:tabs>
              <w:spacing w:after="12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Principalele păr</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 interesate din sectorul privat afectate de transpunerea </w:t>
            </w:r>
            <w:r w:rsidR="00FB5E9C" w:rsidRPr="00DD57E3">
              <w:rPr>
                <w:rFonts w:ascii="Times New Roman" w:hAnsi="Times New Roman" w:cs="Times New Roman"/>
                <w:bCs/>
                <w:iCs/>
                <w:sz w:val="24"/>
                <w:szCs w:val="24"/>
                <w:lang w:val="ro-MD"/>
              </w:rPr>
              <w:t xml:space="preserve">Directivei </w:t>
            </w:r>
            <w:r w:rsidRPr="00DD57E3">
              <w:rPr>
                <w:rFonts w:ascii="Times New Roman" w:hAnsi="Times New Roman" w:cs="Times New Roman"/>
                <w:bCs/>
                <w:iCs/>
                <w:sz w:val="24"/>
                <w:szCs w:val="24"/>
                <w:lang w:val="ro-MD"/>
              </w:rPr>
              <w:t>includ:</w:t>
            </w:r>
          </w:p>
          <w:p w14:paraId="5CF38A93" w14:textId="4C4DCEC2" w:rsidR="00A94B03" w:rsidRPr="00DD57E3" w:rsidRDefault="00A94B03" w:rsidP="00124D23">
            <w:pPr>
              <w:pStyle w:val="a4"/>
              <w:numPr>
                <w:ilvl w:val="0"/>
                <w:numId w:val="12"/>
              </w:numPr>
              <w:tabs>
                <w:tab w:val="left" w:pos="990"/>
              </w:tabs>
              <w:spacing w:after="120" w:line="240" w:lineRule="auto"/>
              <w:jc w:val="both"/>
              <w:rPr>
                <w:rFonts w:cs="Times New Roman"/>
                <w:bCs/>
                <w:iCs/>
                <w:szCs w:val="24"/>
                <w:lang w:val="ro-MD"/>
              </w:rPr>
            </w:pPr>
            <w:r w:rsidRPr="00DD57E3">
              <w:rPr>
                <w:rFonts w:cs="Times New Roman"/>
                <w:bCs/>
                <w:iCs/>
                <w:szCs w:val="24"/>
                <w:lang w:val="ro-MD"/>
              </w:rPr>
              <w:lastRenderedPageBreak/>
              <w:t xml:space="preserve">Operatorii de transport rutier (operatorii de transport public </w:t>
            </w:r>
            <w:r w:rsidR="00D84F0C" w:rsidRPr="00DD57E3">
              <w:rPr>
                <w:rFonts w:cs="Times New Roman"/>
                <w:bCs/>
                <w:iCs/>
                <w:szCs w:val="24"/>
                <w:lang w:val="ro-MD"/>
              </w:rPr>
              <w:t>ș</w:t>
            </w:r>
            <w:r w:rsidRPr="00DD57E3">
              <w:rPr>
                <w:rFonts w:cs="Times New Roman"/>
                <w:bCs/>
                <w:iCs/>
                <w:szCs w:val="24"/>
                <w:lang w:val="ro-MD"/>
              </w:rPr>
              <w:t>i de marfă, operatorii po</w:t>
            </w:r>
            <w:r w:rsidR="00D84F0C" w:rsidRPr="00DD57E3">
              <w:rPr>
                <w:rFonts w:cs="Times New Roman"/>
                <w:bCs/>
                <w:iCs/>
                <w:szCs w:val="24"/>
                <w:lang w:val="ro-MD"/>
              </w:rPr>
              <w:t>ș</w:t>
            </w:r>
            <w:r w:rsidRPr="00DD57E3">
              <w:rPr>
                <w:rFonts w:cs="Times New Roman"/>
                <w:bCs/>
                <w:iCs/>
                <w:szCs w:val="24"/>
                <w:lang w:val="ro-MD"/>
              </w:rPr>
              <w:t>tali, companiile de livrare)</w:t>
            </w:r>
          </w:p>
          <w:p w14:paraId="061811DB" w14:textId="357CF857" w:rsidR="00A94B03" w:rsidRPr="00DD57E3" w:rsidRDefault="00A94B03"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 xml:space="preserve">Companiile private care furnizează servicii de transport de călători (inclusiv cele care operează autobuze, microbuze) </w:t>
            </w:r>
            <w:r w:rsidR="00D84F0C" w:rsidRPr="00DD57E3">
              <w:rPr>
                <w:rFonts w:cs="Times New Roman"/>
                <w:bCs/>
                <w:iCs/>
                <w:szCs w:val="24"/>
                <w:lang w:val="ro-MD"/>
              </w:rPr>
              <w:t>ș</w:t>
            </w:r>
            <w:r w:rsidRPr="00DD57E3">
              <w:rPr>
                <w:rFonts w:cs="Times New Roman"/>
                <w:bCs/>
                <w:iCs/>
                <w:szCs w:val="24"/>
                <w:lang w:val="ro-MD"/>
              </w:rPr>
              <w:t xml:space="preserve">i servicii de transport de marfă vor fi cele mai direct afectate de </w:t>
            </w:r>
            <w:r w:rsidR="00FB5E9C" w:rsidRPr="00DD57E3">
              <w:rPr>
                <w:rFonts w:cs="Times New Roman"/>
                <w:bCs/>
                <w:iCs/>
                <w:szCs w:val="24"/>
                <w:lang w:val="ro-MD"/>
              </w:rPr>
              <w:t>Directivă</w:t>
            </w:r>
            <w:r w:rsidRPr="00DD57E3">
              <w:rPr>
                <w:rFonts w:cs="Times New Roman"/>
                <w:bCs/>
                <w:iCs/>
                <w:szCs w:val="24"/>
                <w:lang w:val="ro-MD"/>
              </w:rPr>
              <w:t>.</w:t>
            </w:r>
          </w:p>
          <w:p w14:paraId="6471B9FA" w14:textId="67BE5F9A" w:rsidR="00A94B03" w:rsidRPr="00DD57E3" w:rsidRDefault="00A94B03" w:rsidP="00124D23">
            <w:pPr>
              <w:pStyle w:val="a4"/>
              <w:numPr>
                <w:ilvl w:val="1"/>
                <w:numId w:val="13"/>
              </w:numPr>
              <w:tabs>
                <w:tab w:val="left" w:pos="990"/>
              </w:tabs>
              <w:spacing w:after="0" w:line="240" w:lineRule="auto"/>
              <w:jc w:val="both"/>
              <w:rPr>
                <w:rFonts w:cs="Times New Roman"/>
                <w:bCs/>
                <w:iCs/>
                <w:szCs w:val="24"/>
                <w:lang w:val="ro-MD"/>
              </w:rPr>
            </w:pPr>
            <w:r w:rsidRPr="00DD57E3">
              <w:rPr>
                <w:rFonts w:cs="Times New Roman"/>
                <w:bCs/>
                <w:iCs/>
                <w:szCs w:val="24"/>
                <w:lang w:val="ro-MD"/>
              </w:rPr>
              <w:t>Aceste companii sunt responsabile pentru achizi</w:t>
            </w:r>
            <w:r w:rsidR="00D84F0C" w:rsidRPr="00DD57E3">
              <w:rPr>
                <w:rFonts w:cs="Times New Roman"/>
                <w:bCs/>
                <w:iCs/>
                <w:szCs w:val="24"/>
                <w:lang w:val="ro-MD"/>
              </w:rPr>
              <w:t>ț</w:t>
            </w:r>
            <w:r w:rsidRPr="00DD57E3">
              <w:rPr>
                <w:rFonts w:cs="Times New Roman"/>
                <w:bCs/>
                <w:iCs/>
                <w:szCs w:val="24"/>
                <w:lang w:val="ro-MD"/>
              </w:rPr>
              <w:t>ionarea, între</w:t>
            </w:r>
            <w:r w:rsidR="00D84F0C" w:rsidRPr="00DD57E3">
              <w:rPr>
                <w:rFonts w:cs="Times New Roman"/>
                <w:bCs/>
                <w:iCs/>
                <w:szCs w:val="24"/>
                <w:lang w:val="ro-MD"/>
              </w:rPr>
              <w:t>ț</w:t>
            </w:r>
            <w:r w:rsidRPr="00DD57E3">
              <w:rPr>
                <w:rFonts w:cs="Times New Roman"/>
                <w:bCs/>
                <w:iCs/>
                <w:szCs w:val="24"/>
                <w:lang w:val="ro-MD"/>
              </w:rPr>
              <w:t xml:space="preserve">inerea </w:t>
            </w:r>
            <w:r w:rsidR="00D84F0C" w:rsidRPr="00DD57E3">
              <w:rPr>
                <w:rFonts w:cs="Times New Roman"/>
                <w:bCs/>
                <w:iCs/>
                <w:szCs w:val="24"/>
                <w:lang w:val="ro-MD"/>
              </w:rPr>
              <w:t>ș</w:t>
            </w:r>
            <w:r w:rsidRPr="00DD57E3">
              <w:rPr>
                <w:rFonts w:cs="Times New Roman"/>
                <w:bCs/>
                <w:iCs/>
                <w:szCs w:val="24"/>
                <w:lang w:val="ro-MD"/>
              </w:rPr>
              <w:t xml:space="preserve">i exploatarea vehiculelor care vor trebui să respecte noile standarde de mediu stabilite de </w:t>
            </w:r>
            <w:r w:rsidR="00FB5E9C" w:rsidRPr="00DD57E3">
              <w:rPr>
                <w:rFonts w:cs="Times New Roman"/>
                <w:bCs/>
                <w:iCs/>
                <w:szCs w:val="24"/>
                <w:lang w:val="ro-MD"/>
              </w:rPr>
              <w:t>Directivă</w:t>
            </w:r>
            <w:r w:rsidRPr="00DD57E3">
              <w:rPr>
                <w:rFonts w:cs="Times New Roman"/>
                <w:bCs/>
                <w:iCs/>
                <w:szCs w:val="24"/>
                <w:lang w:val="ro-MD"/>
              </w:rPr>
              <w:t>.</w:t>
            </w:r>
          </w:p>
          <w:p w14:paraId="79F8873B" w14:textId="77777777" w:rsidR="00A94B03" w:rsidRPr="00DD57E3" w:rsidRDefault="00A94B03" w:rsidP="00124D23">
            <w:pPr>
              <w:pStyle w:val="a4"/>
              <w:numPr>
                <w:ilvl w:val="0"/>
                <w:numId w:val="12"/>
              </w:numPr>
              <w:tabs>
                <w:tab w:val="left" w:pos="990"/>
              </w:tabs>
              <w:spacing w:after="120" w:line="240" w:lineRule="auto"/>
              <w:jc w:val="both"/>
              <w:rPr>
                <w:rFonts w:cs="Times New Roman"/>
                <w:bCs/>
                <w:iCs/>
                <w:szCs w:val="24"/>
                <w:lang w:val="ro-MD"/>
              </w:rPr>
            </w:pPr>
            <w:r w:rsidRPr="00DD57E3">
              <w:rPr>
                <w:rFonts w:cs="Times New Roman"/>
                <w:bCs/>
                <w:iCs/>
                <w:szCs w:val="24"/>
                <w:lang w:val="ro-MD"/>
              </w:rPr>
              <w:t>Furnizorii de vehicule</w:t>
            </w:r>
          </w:p>
          <w:p w14:paraId="4E68D35A" w14:textId="3768B61E" w:rsidR="00A94B03" w:rsidRPr="00DD57E3" w:rsidRDefault="00A94B03"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 xml:space="preserve">Având în vedere că </w:t>
            </w:r>
            <w:r w:rsidR="00CF2882" w:rsidRPr="00DD57E3">
              <w:rPr>
                <w:rFonts w:cs="Times New Roman"/>
                <w:bCs/>
                <w:iCs/>
                <w:szCs w:val="24"/>
                <w:lang w:val="ro-MD"/>
              </w:rPr>
              <w:t xml:space="preserve">Republica </w:t>
            </w:r>
            <w:r w:rsidRPr="00DD57E3">
              <w:rPr>
                <w:rFonts w:cs="Times New Roman"/>
                <w:bCs/>
                <w:iCs/>
                <w:szCs w:val="24"/>
                <w:lang w:val="ro-MD"/>
              </w:rPr>
              <w:t xml:space="preserve">Moldova nu are producători autohtoni de vehicule, producătorii străini de vehicule, inclusiv cei care produc autobuze electrice, autobuze cu hidrogen </w:t>
            </w:r>
            <w:r w:rsidR="00D84F0C" w:rsidRPr="00DD57E3">
              <w:rPr>
                <w:rFonts w:cs="Times New Roman"/>
                <w:bCs/>
                <w:iCs/>
                <w:szCs w:val="24"/>
                <w:lang w:val="ro-MD"/>
              </w:rPr>
              <w:t>ș</w:t>
            </w:r>
            <w:r w:rsidRPr="00DD57E3">
              <w:rPr>
                <w:rFonts w:cs="Times New Roman"/>
                <w:bCs/>
                <w:iCs/>
                <w:szCs w:val="24"/>
                <w:lang w:val="ro-MD"/>
              </w:rPr>
              <w:t>i alte vehicule cu emisii reduse, vor deveni actori importan</w:t>
            </w:r>
            <w:r w:rsidR="00D84F0C" w:rsidRPr="00DD57E3">
              <w:rPr>
                <w:rFonts w:cs="Times New Roman"/>
                <w:bCs/>
                <w:iCs/>
                <w:szCs w:val="24"/>
                <w:lang w:val="ro-MD"/>
              </w:rPr>
              <w:t>ț</w:t>
            </w:r>
            <w:r w:rsidRPr="00DD57E3">
              <w:rPr>
                <w:rFonts w:cs="Times New Roman"/>
                <w:bCs/>
                <w:iCs/>
                <w:szCs w:val="24"/>
                <w:lang w:val="ro-MD"/>
              </w:rPr>
              <w:t>i pe pia</w:t>
            </w:r>
            <w:r w:rsidR="00D84F0C" w:rsidRPr="00DD57E3">
              <w:rPr>
                <w:rFonts w:cs="Times New Roman"/>
                <w:bCs/>
                <w:iCs/>
                <w:szCs w:val="24"/>
                <w:lang w:val="ro-MD"/>
              </w:rPr>
              <w:t>ț</w:t>
            </w:r>
            <w:r w:rsidRPr="00DD57E3">
              <w:rPr>
                <w:rFonts w:cs="Times New Roman"/>
                <w:bCs/>
                <w:iCs/>
                <w:szCs w:val="24"/>
                <w:lang w:val="ro-MD"/>
              </w:rPr>
              <w:t>ă.</w:t>
            </w:r>
          </w:p>
          <w:p w14:paraId="2680F359" w14:textId="08223653" w:rsidR="00A94B03" w:rsidRPr="00DD57E3" w:rsidRDefault="00045790"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F</w:t>
            </w:r>
            <w:r w:rsidR="00A94B03" w:rsidRPr="00DD57E3">
              <w:rPr>
                <w:rFonts w:cs="Times New Roman"/>
                <w:bCs/>
                <w:iCs/>
                <w:szCs w:val="24"/>
                <w:lang w:val="ro-MD"/>
              </w:rPr>
              <w:t>urnizori</w:t>
            </w:r>
            <w:r w:rsidRPr="00DD57E3">
              <w:rPr>
                <w:rFonts w:cs="Times New Roman"/>
                <w:bCs/>
                <w:iCs/>
                <w:szCs w:val="24"/>
                <w:lang w:val="ro-MD"/>
              </w:rPr>
              <w:t>i de vehicule</w:t>
            </w:r>
            <w:r w:rsidR="00A94B03" w:rsidRPr="00DD57E3">
              <w:rPr>
                <w:rFonts w:cs="Times New Roman"/>
                <w:bCs/>
                <w:iCs/>
                <w:szCs w:val="24"/>
                <w:lang w:val="ro-MD"/>
              </w:rPr>
              <w:t xml:space="preserve"> se vor confrunta cu o cerere crescută de vehicule cu emisii reduse, ceea ce îi poate încuraja să î</w:t>
            </w:r>
            <w:r w:rsidR="00D84F0C" w:rsidRPr="00DD57E3">
              <w:rPr>
                <w:rFonts w:cs="Times New Roman"/>
                <w:bCs/>
                <w:iCs/>
                <w:szCs w:val="24"/>
                <w:lang w:val="ro-MD"/>
              </w:rPr>
              <w:t>ș</w:t>
            </w:r>
            <w:r w:rsidR="00A94B03" w:rsidRPr="00DD57E3">
              <w:rPr>
                <w:rFonts w:cs="Times New Roman"/>
                <w:bCs/>
                <w:iCs/>
                <w:szCs w:val="24"/>
                <w:lang w:val="ro-MD"/>
              </w:rPr>
              <w:t>i consolideze prezen</w:t>
            </w:r>
            <w:r w:rsidR="00D84F0C" w:rsidRPr="00DD57E3">
              <w:rPr>
                <w:rFonts w:cs="Times New Roman"/>
                <w:bCs/>
                <w:iCs/>
                <w:szCs w:val="24"/>
                <w:lang w:val="ro-MD"/>
              </w:rPr>
              <w:t>ț</w:t>
            </w:r>
            <w:r w:rsidR="00A94B03" w:rsidRPr="00DD57E3">
              <w:rPr>
                <w:rFonts w:cs="Times New Roman"/>
                <w:bCs/>
                <w:iCs/>
                <w:szCs w:val="24"/>
                <w:lang w:val="ro-MD"/>
              </w:rPr>
              <w:t>a pe pia</w:t>
            </w:r>
            <w:r w:rsidR="00D84F0C" w:rsidRPr="00DD57E3">
              <w:rPr>
                <w:rFonts w:cs="Times New Roman"/>
                <w:bCs/>
                <w:iCs/>
                <w:szCs w:val="24"/>
                <w:lang w:val="ro-MD"/>
              </w:rPr>
              <w:t>ț</w:t>
            </w:r>
            <w:r w:rsidR="00A94B03" w:rsidRPr="00DD57E3">
              <w:rPr>
                <w:rFonts w:cs="Times New Roman"/>
                <w:bCs/>
                <w:iCs/>
                <w:szCs w:val="24"/>
                <w:lang w:val="ro-MD"/>
              </w:rPr>
              <w:t xml:space="preserve">a din </w:t>
            </w:r>
            <w:r w:rsidR="007A0C6E" w:rsidRPr="00DD57E3">
              <w:rPr>
                <w:rFonts w:cs="Times New Roman"/>
                <w:bCs/>
                <w:iCs/>
                <w:szCs w:val="24"/>
                <w:lang w:val="ro-MD"/>
              </w:rPr>
              <w:t xml:space="preserve">Republica </w:t>
            </w:r>
            <w:r w:rsidR="00A94B03" w:rsidRPr="00DD57E3">
              <w:rPr>
                <w:rFonts w:cs="Times New Roman"/>
                <w:bCs/>
                <w:iCs/>
                <w:szCs w:val="24"/>
                <w:lang w:val="ro-MD"/>
              </w:rPr>
              <w:t xml:space="preserve">Moldova </w:t>
            </w:r>
            <w:r w:rsidR="00D84F0C" w:rsidRPr="00DD57E3">
              <w:rPr>
                <w:rFonts w:cs="Times New Roman"/>
                <w:bCs/>
                <w:iCs/>
                <w:szCs w:val="24"/>
                <w:lang w:val="ro-MD"/>
              </w:rPr>
              <w:t>ș</w:t>
            </w:r>
            <w:r w:rsidR="00A94B03" w:rsidRPr="00DD57E3">
              <w:rPr>
                <w:rFonts w:cs="Times New Roman"/>
                <w:bCs/>
                <w:iCs/>
                <w:szCs w:val="24"/>
                <w:lang w:val="ro-MD"/>
              </w:rPr>
              <w:t>i să ofere solu</w:t>
            </w:r>
            <w:r w:rsidR="00D84F0C" w:rsidRPr="00DD57E3">
              <w:rPr>
                <w:rFonts w:cs="Times New Roman"/>
                <w:bCs/>
                <w:iCs/>
                <w:szCs w:val="24"/>
                <w:lang w:val="ro-MD"/>
              </w:rPr>
              <w:t>ț</w:t>
            </w:r>
            <w:r w:rsidR="00A94B03" w:rsidRPr="00DD57E3">
              <w:rPr>
                <w:rFonts w:cs="Times New Roman"/>
                <w:bCs/>
                <w:iCs/>
                <w:szCs w:val="24"/>
                <w:lang w:val="ro-MD"/>
              </w:rPr>
              <w:t xml:space="preserve">ii mai adaptate nevoilor </w:t>
            </w:r>
            <w:r w:rsidR="00D84F0C" w:rsidRPr="00DD57E3">
              <w:rPr>
                <w:rFonts w:cs="Times New Roman"/>
                <w:bCs/>
                <w:iCs/>
                <w:szCs w:val="24"/>
                <w:lang w:val="ro-MD"/>
              </w:rPr>
              <w:t>ț</w:t>
            </w:r>
            <w:r w:rsidR="00A94B03" w:rsidRPr="00DD57E3">
              <w:rPr>
                <w:rFonts w:cs="Times New Roman"/>
                <w:bCs/>
                <w:iCs/>
                <w:szCs w:val="24"/>
                <w:lang w:val="ro-MD"/>
              </w:rPr>
              <w:t>ării.</w:t>
            </w:r>
          </w:p>
          <w:p w14:paraId="3C045408" w14:textId="2D009CBA" w:rsidR="00A94B03" w:rsidRPr="00DD57E3" w:rsidRDefault="00A94B03" w:rsidP="00124D23">
            <w:pPr>
              <w:pStyle w:val="a4"/>
              <w:numPr>
                <w:ilvl w:val="0"/>
                <w:numId w:val="12"/>
              </w:numPr>
              <w:tabs>
                <w:tab w:val="left" w:pos="990"/>
              </w:tabs>
              <w:spacing w:after="120" w:line="240" w:lineRule="auto"/>
              <w:jc w:val="both"/>
              <w:rPr>
                <w:rFonts w:cs="Times New Roman"/>
                <w:bCs/>
                <w:iCs/>
                <w:szCs w:val="24"/>
                <w:lang w:val="ro-MD"/>
              </w:rPr>
            </w:pPr>
            <w:r w:rsidRPr="00DD57E3">
              <w:rPr>
                <w:rFonts w:cs="Times New Roman"/>
                <w:bCs/>
                <w:iCs/>
                <w:szCs w:val="24"/>
                <w:lang w:val="ro-MD"/>
              </w:rPr>
              <w:t>Furnizori</w:t>
            </w:r>
            <w:r w:rsidR="00FE3C0B" w:rsidRPr="00DD57E3">
              <w:rPr>
                <w:rFonts w:cs="Times New Roman"/>
                <w:bCs/>
                <w:iCs/>
                <w:szCs w:val="24"/>
                <w:lang w:val="ro-MD"/>
              </w:rPr>
              <w:t>i</w:t>
            </w:r>
            <w:r w:rsidRPr="00DD57E3">
              <w:rPr>
                <w:rFonts w:cs="Times New Roman"/>
                <w:bCs/>
                <w:iCs/>
                <w:szCs w:val="24"/>
                <w:lang w:val="ro-MD"/>
              </w:rPr>
              <w:t xml:space="preserve"> de infrastructură (sta</w:t>
            </w:r>
            <w:r w:rsidR="00D84F0C" w:rsidRPr="00DD57E3">
              <w:rPr>
                <w:rFonts w:cs="Times New Roman"/>
                <w:bCs/>
                <w:iCs/>
                <w:szCs w:val="24"/>
                <w:lang w:val="ro-MD"/>
              </w:rPr>
              <w:t>ț</w:t>
            </w:r>
            <w:r w:rsidRPr="00DD57E3">
              <w:rPr>
                <w:rFonts w:cs="Times New Roman"/>
                <w:bCs/>
                <w:iCs/>
                <w:szCs w:val="24"/>
                <w:lang w:val="ro-MD"/>
              </w:rPr>
              <w:t>ii de încărcare, sta</w:t>
            </w:r>
            <w:r w:rsidR="00D84F0C" w:rsidRPr="00DD57E3">
              <w:rPr>
                <w:rFonts w:cs="Times New Roman"/>
                <w:bCs/>
                <w:iCs/>
                <w:szCs w:val="24"/>
                <w:lang w:val="ro-MD"/>
              </w:rPr>
              <w:t>ț</w:t>
            </w:r>
            <w:r w:rsidRPr="00DD57E3">
              <w:rPr>
                <w:rFonts w:cs="Times New Roman"/>
                <w:bCs/>
                <w:iCs/>
                <w:szCs w:val="24"/>
                <w:lang w:val="ro-MD"/>
              </w:rPr>
              <w:t>ii de alimentare cu hidrogen)</w:t>
            </w:r>
          </w:p>
          <w:p w14:paraId="0D188150" w14:textId="2B9CD7B0" w:rsidR="00A94B03" w:rsidRPr="00DD57E3" w:rsidRDefault="00A94B03"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 xml:space="preserve">Furnizorii de infrastructură de încărcare pentru autobuzele electrice </w:t>
            </w:r>
            <w:r w:rsidR="00D84F0C" w:rsidRPr="00DD57E3">
              <w:rPr>
                <w:rFonts w:cs="Times New Roman"/>
                <w:bCs/>
                <w:iCs/>
                <w:szCs w:val="24"/>
                <w:lang w:val="ro-MD"/>
              </w:rPr>
              <w:t>ș</w:t>
            </w:r>
            <w:r w:rsidRPr="00DD57E3">
              <w:rPr>
                <w:rFonts w:cs="Times New Roman"/>
                <w:bCs/>
                <w:iCs/>
                <w:szCs w:val="24"/>
                <w:lang w:val="ro-MD"/>
              </w:rPr>
              <w:t>i de sta</w:t>
            </w:r>
            <w:r w:rsidR="00D84F0C" w:rsidRPr="00DD57E3">
              <w:rPr>
                <w:rFonts w:cs="Times New Roman"/>
                <w:bCs/>
                <w:iCs/>
                <w:szCs w:val="24"/>
                <w:lang w:val="ro-MD"/>
              </w:rPr>
              <w:t>ț</w:t>
            </w:r>
            <w:r w:rsidRPr="00DD57E3">
              <w:rPr>
                <w:rFonts w:cs="Times New Roman"/>
                <w:bCs/>
                <w:iCs/>
                <w:szCs w:val="24"/>
                <w:lang w:val="ro-MD"/>
              </w:rPr>
              <w:t>ii de realimentare pentru autobuzele pe bază de hidrogen vor înregistra o schimbare a cererii ca urmare a noilor cerin</w:t>
            </w:r>
            <w:r w:rsidR="00D84F0C" w:rsidRPr="00DD57E3">
              <w:rPr>
                <w:rFonts w:cs="Times New Roman"/>
                <w:bCs/>
                <w:iCs/>
                <w:szCs w:val="24"/>
                <w:lang w:val="ro-MD"/>
              </w:rPr>
              <w:t>ț</w:t>
            </w:r>
            <w:r w:rsidRPr="00DD57E3">
              <w:rPr>
                <w:rFonts w:cs="Times New Roman"/>
                <w:bCs/>
                <w:iCs/>
                <w:szCs w:val="24"/>
                <w:lang w:val="ro-MD"/>
              </w:rPr>
              <w:t>e. Ace</w:t>
            </w:r>
            <w:r w:rsidR="00D84F0C" w:rsidRPr="00DD57E3">
              <w:rPr>
                <w:rFonts w:cs="Times New Roman"/>
                <w:bCs/>
                <w:iCs/>
                <w:szCs w:val="24"/>
                <w:lang w:val="ro-MD"/>
              </w:rPr>
              <w:t>ș</w:t>
            </w:r>
            <w:r w:rsidRPr="00DD57E3">
              <w:rPr>
                <w:rFonts w:cs="Times New Roman"/>
                <w:bCs/>
                <w:iCs/>
                <w:szCs w:val="24"/>
                <w:lang w:val="ro-MD"/>
              </w:rPr>
              <w:t>ti furnizori vor trebui să satisfacă cererea crescută de infrastructură pentru a sprijini flotele de vehicule ecologice.</w:t>
            </w:r>
          </w:p>
          <w:p w14:paraId="00259BB4" w14:textId="152AEC44" w:rsidR="00A94B03" w:rsidRPr="00DD57E3" w:rsidRDefault="00A94B03"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 xml:space="preserve">Companiile implicate în instalarea, exploatarea </w:t>
            </w:r>
            <w:r w:rsidR="00D84F0C" w:rsidRPr="00DD57E3">
              <w:rPr>
                <w:rFonts w:cs="Times New Roman"/>
                <w:bCs/>
                <w:iCs/>
                <w:szCs w:val="24"/>
                <w:lang w:val="ro-MD"/>
              </w:rPr>
              <w:t>ș</w:t>
            </w:r>
            <w:r w:rsidRPr="00DD57E3">
              <w:rPr>
                <w:rFonts w:cs="Times New Roman"/>
                <w:bCs/>
                <w:iCs/>
                <w:szCs w:val="24"/>
                <w:lang w:val="ro-MD"/>
              </w:rPr>
              <w:t>i între</w:t>
            </w:r>
            <w:r w:rsidR="00D84F0C" w:rsidRPr="00DD57E3">
              <w:rPr>
                <w:rFonts w:cs="Times New Roman"/>
                <w:bCs/>
                <w:iCs/>
                <w:szCs w:val="24"/>
                <w:lang w:val="ro-MD"/>
              </w:rPr>
              <w:t>ț</w:t>
            </w:r>
            <w:r w:rsidRPr="00DD57E3">
              <w:rPr>
                <w:rFonts w:cs="Times New Roman"/>
                <w:bCs/>
                <w:iCs/>
                <w:szCs w:val="24"/>
                <w:lang w:val="ro-MD"/>
              </w:rPr>
              <w:t>inerea sta</w:t>
            </w:r>
            <w:r w:rsidR="00D84F0C" w:rsidRPr="00DD57E3">
              <w:rPr>
                <w:rFonts w:cs="Times New Roman"/>
                <w:bCs/>
                <w:iCs/>
                <w:szCs w:val="24"/>
                <w:lang w:val="ro-MD"/>
              </w:rPr>
              <w:t>ț</w:t>
            </w:r>
            <w:r w:rsidRPr="00DD57E3">
              <w:rPr>
                <w:rFonts w:cs="Times New Roman"/>
                <w:bCs/>
                <w:iCs/>
                <w:szCs w:val="24"/>
                <w:lang w:val="ro-MD"/>
              </w:rPr>
              <w:t xml:space="preserve">iilor de încărcare a vehiculelor electrice </w:t>
            </w:r>
            <w:r w:rsidR="00D84F0C" w:rsidRPr="00DD57E3">
              <w:rPr>
                <w:rFonts w:cs="Times New Roman"/>
                <w:bCs/>
                <w:iCs/>
                <w:szCs w:val="24"/>
                <w:lang w:val="ro-MD"/>
              </w:rPr>
              <w:t>ș</w:t>
            </w:r>
            <w:r w:rsidRPr="00DD57E3">
              <w:rPr>
                <w:rFonts w:cs="Times New Roman"/>
                <w:bCs/>
                <w:iCs/>
                <w:szCs w:val="24"/>
                <w:lang w:val="ro-MD"/>
              </w:rPr>
              <w:t>i a sta</w:t>
            </w:r>
            <w:r w:rsidR="00D84F0C" w:rsidRPr="00DD57E3">
              <w:rPr>
                <w:rFonts w:cs="Times New Roman"/>
                <w:bCs/>
                <w:iCs/>
                <w:szCs w:val="24"/>
                <w:lang w:val="ro-MD"/>
              </w:rPr>
              <w:t>ț</w:t>
            </w:r>
            <w:r w:rsidRPr="00DD57E3">
              <w:rPr>
                <w:rFonts w:cs="Times New Roman"/>
                <w:bCs/>
                <w:iCs/>
                <w:szCs w:val="24"/>
                <w:lang w:val="ro-MD"/>
              </w:rPr>
              <w:t>iilor de alimentare cu hidrogen vor trebui să î</w:t>
            </w:r>
            <w:r w:rsidR="00D84F0C" w:rsidRPr="00DD57E3">
              <w:rPr>
                <w:rFonts w:cs="Times New Roman"/>
                <w:bCs/>
                <w:iCs/>
                <w:szCs w:val="24"/>
                <w:lang w:val="ro-MD"/>
              </w:rPr>
              <w:t>ș</w:t>
            </w:r>
            <w:r w:rsidRPr="00DD57E3">
              <w:rPr>
                <w:rFonts w:cs="Times New Roman"/>
                <w:bCs/>
                <w:iCs/>
                <w:szCs w:val="24"/>
                <w:lang w:val="ro-MD"/>
              </w:rPr>
              <w:t>i extindă opera</w:t>
            </w:r>
            <w:r w:rsidR="00D84F0C" w:rsidRPr="00DD57E3">
              <w:rPr>
                <w:rFonts w:cs="Times New Roman"/>
                <w:bCs/>
                <w:iCs/>
                <w:szCs w:val="24"/>
                <w:lang w:val="ro-MD"/>
              </w:rPr>
              <w:t>ț</w:t>
            </w:r>
            <w:r w:rsidRPr="00DD57E3">
              <w:rPr>
                <w:rFonts w:cs="Times New Roman"/>
                <w:bCs/>
                <w:iCs/>
                <w:szCs w:val="24"/>
                <w:lang w:val="ro-MD"/>
              </w:rPr>
              <w:t>iunile pentru a răspunde noilor cerin</w:t>
            </w:r>
            <w:r w:rsidR="00D84F0C" w:rsidRPr="00DD57E3">
              <w:rPr>
                <w:rFonts w:cs="Times New Roman"/>
                <w:bCs/>
                <w:iCs/>
                <w:szCs w:val="24"/>
                <w:lang w:val="ro-MD"/>
              </w:rPr>
              <w:t>ț</w:t>
            </w:r>
            <w:r w:rsidRPr="00DD57E3">
              <w:rPr>
                <w:rFonts w:cs="Times New Roman"/>
                <w:bCs/>
                <w:iCs/>
                <w:szCs w:val="24"/>
                <w:lang w:val="ro-MD"/>
              </w:rPr>
              <w:t>e ale pie</w:t>
            </w:r>
            <w:r w:rsidR="00D84F0C" w:rsidRPr="00DD57E3">
              <w:rPr>
                <w:rFonts w:cs="Times New Roman"/>
                <w:bCs/>
                <w:iCs/>
                <w:szCs w:val="24"/>
                <w:lang w:val="ro-MD"/>
              </w:rPr>
              <w:t>ț</w:t>
            </w:r>
            <w:r w:rsidRPr="00DD57E3">
              <w:rPr>
                <w:rFonts w:cs="Times New Roman"/>
                <w:bCs/>
                <w:iCs/>
                <w:szCs w:val="24"/>
                <w:lang w:val="ro-MD"/>
              </w:rPr>
              <w:t>ei.</w:t>
            </w:r>
          </w:p>
          <w:p w14:paraId="3DD3005D" w14:textId="13ACFBCC" w:rsidR="00A94B03" w:rsidRPr="00DD57E3" w:rsidRDefault="00A94B03" w:rsidP="00124D23">
            <w:pPr>
              <w:pStyle w:val="a4"/>
              <w:numPr>
                <w:ilvl w:val="0"/>
                <w:numId w:val="12"/>
              </w:numPr>
              <w:tabs>
                <w:tab w:val="left" w:pos="990"/>
              </w:tabs>
              <w:spacing w:after="120" w:line="240" w:lineRule="auto"/>
              <w:jc w:val="both"/>
              <w:rPr>
                <w:rFonts w:cs="Times New Roman"/>
                <w:bCs/>
                <w:iCs/>
                <w:szCs w:val="24"/>
                <w:lang w:val="ro-MD"/>
              </w:rPr>
            </w:pPr>
            <w:r w:rsidRPr="00DD57E3">
              <w:rPr>
                <w:rFonts w:cs="Times New Roman"/>
                <w:bCs/>
                <w:iCs/>
                <w:szCs w:val="24"/>
                <w:lang w:val="ro-MD"/>
              </w:rPr>
              <w:t>Institu</w:t>
            </w:r>
            <w:r w:rsidR="00D84F0C" w:rsidRPr="00DD57E3">
              <w:rPr>
                <w:rFonts w:cs="Times New Roman"/>
                <w:bCs/>
                <w:iCs/>
                <w:szCs w:val="24"/>
                <w:lang w:val="ro-MD"/>
              </w:rPr>
              <w:t>ț</w:t>
            </w:r>
            <w:r w:rsidRPr="00DD57E3">
              <w:rPr>
                <w:rFonts w:cs="Times New Roman"/>
                <w:bCs/>
                <w:iCs/>
                <w:szCs w:val="24"/>
                <w:lang w:val="ro-MD"/>
              </w:rPr>
              <w:t>ii financiare (bănci, societă</w:t>
            </w:r>
            <w:r w:rsidR="00D84F0C" w:rsidRPr="00DD57E3">
              <w:rPr>
                <w:rFonts w:cs="Times New Roman"/>
                <w:bCs/>
                <w:iCs/>
                <w:szCs w:val="24"/>
                <w:lang w:val="ro-MD"/>
              </w:rPr>
              <w:t>ț</w:t>
            </w:r>
            <w:r w:rsidRPr="00DD57E3">
              <w:rPr>
                <w:rFonts w:cs="Times New Roman"/>
                <w:bCs/>
                <w:iCs/>
                <w:szCs w:val="24"/>
                <w:lang w:val="ro-MD"/>
              </w:rPr>
              <w:t xml:space="preserve">i de leasing </w:t>
            </w:r>
            <w:r w:rsidR="00D84F0C" w:rsidRPr="00DD57E3">
              <w:rPr>
                <w:rFonts w:cs="Times New Roman"/>
                <w:bCs/>
                <w:iCs/>
                <w:szCs w:val="24"/>
                <w:lang w:val="ro-MD"/>
              </w:rPr>
              <w:t>ș</w:t>
            </w:r>
            <w:r w:rsidRPr="00DD57E3">
              <w:rPr>
                <w:rFonts w:cs="Times New Roman"/>
                <w:bCs/>
                <w:iCs/>
                <w:szCs w:val="24"/>
                <w:lang w:val="ro-MD"/>
              </w:rPr>
              <w:t>i societă</w:t>
            </w:r>
            <w:r w:rsidR="00D84F0C" w:rsidRPr="00DD57E3">
              <w:rPr>
                <w:rFonts w:cs="Times New Roman"/>
                <w:bCs/>
                <w:iCs/>
                <w:szCs w:val="24"/>
                <w:lang w:val="ro-MD"/>
              </w:rPr>
              <w:t>ț</w:t>
            </w:r>
            <w:r w:rsidRPr="00DD57E3">
              <w:rPr>
                <w:rFonts w:cs="Times New Roman"/>
                <w:bCs/>
                <w:iCs/>
                <w:szCs w:val="24"/>
                <w:lang w:val="ro-MD"/>
              </w:rPr>
              <w:t>i de investi</w:t>
            </w:r>
            <w:r w:rsidR="00D84F0C" w:rsidRPr="00DD57E3">
              <w:rPr>
                <w:rFonts w:cs="Times New Roman"/>
                <w:bCs/>
                <w:iCs/>
                <w:szCs w:val="24"/>
                <w:lang w:val="ro-MD"/>
              </w:rPr>
              <w:t>ț</w:t>
            </w:r>
            <w:r w:rsidRPr="00DD57E3">
              <w:rPr>
                <w:rFonts w:cs="Times New Roman"/>
                <w:bCs/>
                <w:iCs/>
                <w:szCs w:val="24"/>
                <w:lang w:val="ro-MD"/>
              </w:rPr>
              <w:t>ii)</w:t>
            </w:r>
          </w:p>
          <w:p w14:paraId="62C1BD8F" w14:textId="366C8B4E" w:rsidR="00A94B03" w:rsidRPr="00DD57E3" w:rsidRDefault="00A94B03"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Institu</w:t>
            </w:r>
            <w:r w:rsidR="00D84F0C" w:rsidRPr="00DD57E3">
              <w:rPr>
                <w:rFonts w:cs="Times New Roman"/>
                <w:bCs/>
                <w:iCs/>
                <w:szCs w:val="24"/>
                <w:lang w:val="ro-MD"/>
              </w:rPr>
              <w:t>ț</w:t>
            </w:r>
            <w:r w:rsidRPr="00DD57E3">
              <w:rPr>
                <w:rFonts w:cs="Times New Roman"/>
                <w:bCs/>
                <w:iCs/>
                <w:szCs w:val="24"/>
                <w:lang w:val="ro-MD"/>
              </w:rPr>
              <w:t>iile financiare vor juca un rol esen</w:t>
            </w:r>
            <w:r w:rsidR="00D84F0C" w:rsidRPr="00DD57E3">
              <w:rPr>
                <w:rFonts w:cs="Times New Roman"/>
                <w:bCs/>
                <w:iCs/>
                <w:szCs w:val="24"/>
                <w:lang w:val="ro-MD"/>
              </w:rPr>
              <w:t>ț</w:t>
            </w:r>
            <w:r w:rsidRPr="00DD57E3">
              <w:rPr>
                <w:rFonts w:cs="Times New Roman"/>
                <w:bCs/>
                <w:iCs/>
                <w:szCs w:val="24"/>
                <w:lang w:val="ro-MD"/>
              </w:rPr>
              <w:t>ial în furnizarea de solu</w:t>
            </w:r>
            <w:r w:rsidR="00D84F0C" w:rsidRPr="00DD57E3">
              <w:rPr>
                <w:rFonts w:cs="Times New Roman"/>
                <w:bCs/>
                <w:iCs/>
                <w:szCs w:val="24"/>
                <w:lang w:val="ro-MD"/>
              </w:rPr>
              <w:t>ț</w:t>
            </w:r>
            <w:r w:rsidRPr="00DD57E3">
              <w:rPr>
                <w:rFonts w:cs="Times New Roman"/>
                <w:bCs/>
                <w:iCs/>
                <w:szCs w:val="24"/>
                <w:lang w:val="ro-MD"/>
              </w:rPr>
              <w:t>ii de finan</w:t>
            </w:r>
            <w:r w:rsidR="00D84F0C" w:rsidRPr="00DD57E3">
              <w:rPr>
                <w:rFonts w:cs="Times New Roman"/>
                <w:bCs/>
                <w:iCs/>
                <w:szCs w:val="24"/>
                <w:lang w:val="ro-MD"/>
              </w:rPr>
              <w:t>ț</w:t>
            </w:r>
            <w:r w:rsidRPr="00DD57E3">
              <w:rPr>
                <w:rFonts w:cs="Times New Roman"/>
                <w:bCs/>
                <w:iCs/>
                <w:szCs w:val="24"/>
                <w:lang w:val="ro-MD"/>
              </w:rPr>
              <w:t>are pentru tranzi</w:t>
            </w:r>
            <w:r w:rsidR="00D84F0C" w:rsidRPr="00DD57E3">
              <w:rPr>
                <w:rFonts w:cs="Times New Roman"/>
                <w:bCs/>
                <w:iCs/>
                <w:szCs w:val="24"/>
                <w:lang w:val="ro-MD"/>
              </w:rPr>
              <w:t>ț</w:t>
            </w:r>
            <w:r w:rsidRPr="00DD57E3">
              <w:rPr>
                <w:rFonts w:cs="Times New Roman"/>
                <w:bCs/>
                <w:iCs/>
                <w:szCs w:val="24"/>
                <w:lang w:val="ro-MD"/>
              </w:rPr>
              <w:t>ia sectorului privat către vehicule cu emisii reduse.</w:t>
            </w:r>
          </w:p>
          <w:p w14:paraId="3D921401" w14:textId="2B576941" w:rsidR="00A94B03" w:rsidRPr="00DD57E3" w:rsidRDefault="00A94B03"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Acestea pot oferi împrumuturi, contracte de leasing sau alte forme de sprijin financiar operatorilor de transport pentru a-i ajuta să acopere costurile ini</w:t>
            </w:r>
            <w:r w:rsidR="00D84F0C" w:rsidRPr="00DD57E3">
              <w:rPr>
                <w:rFonts w:cs="Times New Roman"/>
                <w:bCs/>
                <w:iCs/>
                <w:szCs w:val="24"/>
                <w:lang w:val="ro-MD"/>
              </w:rPr>
              <w:t>ț</w:t>
            </w:r>
            <w:r w:rsidRPr="00DD57E3">
              <w:rPr>
                <w:rFonts w:cs="Times New Roman"/>
                <w:bCs/>
                <w:iCs/>
                <w:szCs w:val="24"/>
                <w:lang w:val="ro-MD"/>
              </w:rPr>
              <w:t xml:space="preserve">iale mai ridicate ale vehiculelor electrice sau pe bază de hidrogen </w:t>
            </w:r>
            <w:r w:rsidR="00D84F0C" w:rsidRPr="00DD57E3">
              <w:rPr>
                <w:rFonts w:cs="Times New Roman"/>
                <w:bCs/>
                <w:iCs/>
                <w:szCs w:val="24"/>
                <w:lang w:val="ro-MD"/>
              </w:rPr>
              <w:t>ș</w:t>
            </w:r>
            <w:r w:rsidRPr="00DD57E3">
              <w:rPr>
                <w:rFonts w:cs="Times New Roman"/>
                <w:bCs/>
                <w:iCs/>
                <w:szCs w:val="24"/>
                <w:lang w:val="ro-MD"/>
              </w:rPr>
              <w:t>i ale infrastructurii necesare.</w:t>
            </w:r>
          </w:p>
          <w:p w14:paraId="28164A46" w14:textId="0A9B8C02" w:rsidR="00A94B03" w:rsidRPr="00DD57E3" w:rsidRDefault="00A94B03"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Firmele de investi</w:t>
            </w:r>
            <w:r w:rsidR="00D84F0C" w:rsidRPr="00DD57E3">
              <w:rPr>
                <w:rFonts w:cs="Times New Roman"/>
                <w:bCs/>
                <w:iCs/>
                <w:szCs w:val="24"/>
                <w:lang w:val="ro-MD"/>
              </w:rPr>
              <w:t>ț</w:t>
            </w:r>
            <w:r w:rsidRPr="00DD57E3">
              <w:rPr>
                <w:rFonts w:cs="Times New Roman"/>
                <w:bCs/>
                <w:iCs/>
                <w:szCs w:val="24"/>
                <w:lang w:val="ro-MD"/>
              </w:rPr>
              <w:t>ii se pot implica, de asemenea, în sprijinirea ini</w:t>
            </w:r>
            <w:r w:rsidR="00D84F0C" w:rsidRPr="00DD57E3">
              <w:rPr>
                <w:rFonts w:cs="Times New Roman"/>
                <w:bCs/>
                <w:iCs/>
                <w:szCs w:val="24"/>
                <w:lang w:val="ro-MD"/>
              </w:rPr>
              <w:t>ț</w:t>
            </w:r>
            <w:r w:rsidRPr="00DD57E3">
              <w:rPr>
                <w:rFonts w:cs="Times New Roman"/>
                <w:bCs/>
                <w:iCs/>
                <w:szCs w:val="24"/>
                <w:lang w:val="ro-MD"/>
              </w:rPr>
              <w:t>iativelor de transport nepoluant, considerându-le o oportunitate pentru investi</w:t>
            </w:r>
            <w:r w:rsidR="00D84F0C" w:rsidRPr="00DD57E3">
              <w:rPr>
                <w:rFonts w:cs="Times New Roman"/>
                <w:bCs/>
                <w:iCs/>
                <w:szCs w:val="24"/>
                <w:lang w:val="ro-MD"/>
              </w:rPr>
              <w:t>ț</w:t>
            </w:r>
            <w:r w:rsidRPr="00DD57E3">
              <w:rPr>
                <w:rFonts w:cs="Times New Roman"/>
                <w:bCs/>
                <w:iCs/>
                <w:szCs w:val="24"/>
                <w:lang w:val="ro-MD"/>
              </w:rPr>
              <w:t>ii durabile.</w:t>
            </w:r>
          </w:p>
          <w:p w14:paraId="7A2C2615" w14:textId="7E7AE3D5" w:rsidR="00A94B03" w:rsidRPr="00DD57E3" w:rsidRDefault="00A94B03" w:rsidP="00124D23">
            <w:pPr>
              <w:pStyle w:val="a4"/>
              <w:numPr>
                <w:ilvl w:val="0"/>
                <w:numId w:val="12"/>
              </w:numPr>
              <w:tabs>
                <w:tab w:val="left" w:pos="990"/>
              </w:tabs>
              <w:spacing w:after="120" w:line="240" w:lineRule="auto"/>
              <w:jc w:val="both"/>
              <w:rPr>
                <w:rFonts w:cs="Times New Roman"/>
                <w:bCs/>
                <w:iCs/>
                <w:szCs w:val="24"/>
                <w:lang w:val="ro-MD"/>
              </w:rPr>
            </w:pPr>
            <w:r w:rsidRPr="00DD57E3">
              <w:rPr>
                <w:rFonts w:cs="Times New Roman"/>
                <w:bCs/>
                <w:iCs/>
                <w:szCs w:val="24"/>
                <w:lang w:val="ro-MD"/>
              </w:rPr>
              <w:t>Furnizorii de servicii de transport public (contractori priva</w:t>
            </w:r>
            <w:r w:rsidR="00D84F0C" w:rsidRPr="00DD57E3">
              <w:rPr>
                <w:rFonts w:cs="Times New Roman"/>
                <w:bCs/>
                <w:iCs/>
                <w:szCs w:val="24"/>
                <w:lang w:val="ro-MD"/>
              </w:rPr>
              <w:t>ț</w:t>
            </w:r>
            <w:r w:rsidRPr="00DD57E3">
              <w:rPr>
                <w:rFonts w:cs="Times New Roman"/>
                <w:bCs/>
                <w:iCs/>
                <w:szCs w:val="24"/>
                <w:lang w:val="ro-MD"/>
              </w:rPr>
              <w:t>i pentru transportul public)</w:t>
            </w:r>
          </w:p>
          <w:p w14:paraId="0ABDFED9" w14:textId="5AA83F63" w:rsidR="00A94B03" w:rsidRPr="00DD57E3" w:rsidRDefault="00A94B03"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Antreprenorii priva</w:t>
            </w:r>
            <w:r w:rsidR="00D84F0C" w:rsidRPr="00DD57E3">
              <w:rPr>
                <w:rFonts w:cs="Times New Roman"/>
                <w:bCs/>
                <w:iCs/>
                <w:szCs w:val="24"/>
                <w:lang w:val="ro-MD"/>
              </w:rPr>
              <w:t>ț</w:t>
            </w:r>
            <w:r w:rsidRPr="00DD57E3">
              <w:rPr>
                <w:rFonts w:cs="Times New Roman"/>
                <w:bCs/>
                <w:iCs/>
                <w:szCs w:val="24"/>
                <w:lang w:val="ro-MD"/>
              </w:rPr>
              <w:t>i care gestionează serviciile de transport public, inclusiv cei care încheie contracte cu autorită</w:t>
            </w:r>
            <w:r w:rsidR="00D84F0C" w:rsidRPr="00DD57E3">
              <w:rPr>
                <w:rFonts w:cs="Times New Roman"/>
                <w:bCs/>
                <w:iCs/>
                <w:szCs w:val="24"/>
                <w:lang w:val="ro-MD"/>
              </w:rPr>
              <w:t>ț</w:t>
            </w:r>
            <w:r w:rsidRPr="00DD57E3">
              <w:rPr>
                <w:rFonts w:cs="Times New Roman"/>
                <w:bCs/>
                <w:iCs/>
                <w:szCs w:val="24"/>
                <w:lang w:val="ro-MD"/>
              </w:rPr>
              <w:t>ile publice (cum ar fi în Chi</w:t>
            </w:r>
            <w:r w:rsidR="00D84F0C" w:rsidRPr="00DD57E3">
              <w:rPr>
                <w:rFonts w:cs="Times New Roman"/>
                <w:bCs/>
                <w:iCs/>
                <w:szCs w:val="24"/>
                <w:lang w:val="ro-MD"/>
              </w:rPr>
              <w:t>ș</w:t>
            </w:r>
            <w:r w:rsidRPr="00DD57E3">
              <w:rPr>
                <w:rFonts w:cs="Times New Roman"/>
                <w:bCs/>
                <w:iCs/>
                <w:szCs w:val="24"/>
                <w:lang w:val="ro-MD"/>
              </w:rPr>
              <w:t>inău sau Băl</w:t>
            </w:r>
            <w:r w:rsidR="00D84F0C" w:rsidRPr="00DD57E3">
              <w:rPr>
                <w:rFonts w:cs="Times New Roman"/>
                <w:bCs/>
                <w:iCs/>
                <w:szCs w:val="24"/>
                <w:lang w:val="ro-MD"/>
              </w:rPr>
              <w:t>ț</w:t>
            </w:r>
            <w:r w:rsidRPr="00DD57E3">
              <w:rPr>
                <w:rFonts w:cs="Times New Roman"/>
                <w:bCs/>
                <w:iCs/>
                <w:szCs w:val="24"/>
                <w:lang w:val="ro-MD"/>
              </w:rPr>
              <w:t>i), vor fi obliga</w:t>
            </w:r>
            <w:r w:rsidR="00D84F0C" w:rsidRPr="00DD57E3">
              <w:rPr>
                <w:rFonts w:cs="Times New Roman"/>
                <w:bCs/>
                <w:iCs/>
                <w:szCs w:val="24"/>
                <w:lang w:val="ro-MD"/>
              </w:rPr>
              <w:t>ț</w:t>
            </w:r>
            <w:r w:rsidRPr="00DD57E3">
              <w:rPr>
                <w:rFonts w:cs="Times New Roman"/>
                <w:bCs/>
                <w:iCs/>
                <w:szCs w:val="24"/>
                <w:lang w:val="ro-MD"/>
              </w:rPr>
              <w:t>i să respecte noile standarde de mediu.</w:t>
            </w:r>
          </w:p>
          <w:p w14:paraId="35E69131" w14:textId="6D8A0793" w:rsidR="00A94B03" w:rsidRPr="00DD57E3" w:rsidRDefault="00A94B03"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Aceste companii vor fi afectate de schimbările în procesele de achizi</w:t>
            </w:r>
            <w:r w:rsidR="00D84F0C" w:rsidRPr="00DD57E3">
              <w:rPr>
                <w:rFonts w:cs="Times New Roman"/>
                <w:bCs/>
                <w:iCs/>
                <w:szCs w:val="24"/>
                <w:lang w:val="ro-MD"/>
              </w:rPr>
              <w:t>ț</w:t>
            </w:r>
            <w:r w:rsidRPr="00DD57E3">
              <w:rPr>
                <w:rFonts w:cs="Times New Roman"/>
                <w:bCs/>
                <w:iCs/>
                <w:szCs w:val="24"/>
                <w:lang w:val="ro-MD"/>
              </w:rPr>
              <w:t>ii publice, deoarece vor trebui acum să î</w:t>
            </w:r>
            <w:r w:rsidR="00D84F0C" w:rsidRPr="00DD57E3">
              <w:rPr>
                <w:rFonts w:cs="Times New Roman"/>
                <w:bCs/>
                <w:iCs/>
                <w:szCs w:val="24"/>
                <w:lang w:val="ro-MD"/>
              </w:rPr>
              <w:t>ș</w:t>
            </w:r>
            <w:r w:rsidRPr="00DD57E3">
              <w:rPr>
                <w:rFonts w:cs="Times New Roman"/>
                <w:bCs/>
                <w:iCs/>
                <w:szCs w:val="24"/>
                <w:lang w:val="ro-MD"/>
              </w:rPr>
              <w:t>i alinieze flotele la cerin</w:t>
            </w:r>
            <w:r w:rsidR="00D84F0C" w:rsidRPr="00DD57E3">
              <w:rPr>
                <w:rFonts w:cs="Times New Roman"/>
                <w:bCs/>
                <w:iCs/>
                <w:szCs w:val="24"/>
                <w:lang w:val="ro-MD"/>
              </w:rPr>
              <w:t>ț</w:t>
            </w:r>
            <w:r w:rsidRPr="00DD57E3">
              <w:rPr>
                <w:rFonts w:cs="Times New Roman"/>
                <w:bCs/>
                <w:iCs/>
                <w:szCs w:val="24"/>
                <w:lang w:val="ro-MD"/>
              </w:rPr>
              <w:t>ele privind emisiile reduse, ceea ce ar putea necesita investi</w:t>
            </w:r>
            <w:r w:rsidR="00D84F0C" w:rsidRPr="00DD57E3">
              <w:rPr>
                <w:rFonts w:cs="Times New Roman"/>
                <w:bCs/>
                <w:iCs/>
                <w:szCs w:val="24"/>
                <w:lang w:val="ro-MD"/>
              </w:rPr>
              <w:t>ț</w:t>
            </w:r>
            <w:r w:rsidRPr="00DD57E3">
              <w:rPr>
                <w:rFonts w:cs="Times New Roman"/>
                <w:bCs/>
                <w:iCs/>
                <w:szCs w:val="24"/>
                <w:lang w:val="ro-MD"/>
              </w:rPr>
              <w:t>ii semnificative.</w:t>
            </w:r>
          </w:p>
          <w:p w14:paraId="695CCDC7" w14:textId="48F6D2B6" w:rsidR="00A94B03" w:rsidRPr="00DD57E3" w:rsidRDefault="00A94B03" w:rsidP="00124D23">
            <w:pPr>
              <w:pStyle w:val="a4"/>
              <w:numPr>
                <w:ilvl w:val="0"/>
                <w:numId w:val="12"/>
              </w:numPr>
              <w:tabs>
                <w:tab w:val="left" w:pos="990"/>
              </w:tabs>
              <w:spacing w:after="120" w:line="240" w:lineRule="auto"/>
              <w:jc w:val="both"/>
              <w:rPr>
                <w:rFonts w:cs="Times New Roman"/>
                <w:bCs/>
                <w:iCs/>
                <w:szCs w:val="24"/>
                <w:lang w:val="ro-MD"/>
              </w:rPr>
            </w:pPr>
            <w:r w:rsidRPr="00DD57E3">
              <w:rPr>
                <w:rFonts w:cs="Times New Roman"/>
                <w:bCs/>
                <w:iCs/>
                <w:szCs w:val="24"/>
                <w:lang w:val="ro-MD"/>
              </w:rPr>
              <w:t>Firmele de consultan</w:t>
            </w:r>
            <w:r w:rsidR="00D84F0C" w:rsidRPr="00DD57E3">
              <w:rPr>
                <w:rFonts w:cs="Times New Roman"/>
                <w:bCs/>
                <w:iCs/>
                <w:szCs w:val="24"/>
                <w:lang w:val="ro-MD"/>
              </w:rPr>
              <w:t>ț</w:t>
            </w:r>
            <w:r w:rsidRPr="00DD57E3">
              <w:rPr>
                <w:rFonts w:cs="Times New Roman"/>
                <w:bCs/>
                <w:iCs/>
                <w:szCs w:val="24"/>
                <w:lang w:val="ro-MD"/>
              </w:rPr>
              <w:t xml:space="preserve">ă </w:t>
            </w:r>
            <w:r w:rsidR="00D84F0C" w:rsidRPr="00DD57E3">
              <w:rPr>
                <w:rFonts w:cs="Times New Roman"/>
                <w:bCs/>
                <w:iCs/>
                <w:szCs w:val="24"/>
                <w:lang w:val="ro-MD"/>
              </w:rPr>
              <w:t>ș</w:t>
            </w:r>
            <w:r w:rsidRPr="00DD57E3">
              <w:rPr>
                <w:rFonts w:cs="Times New Roman"/>
                <w:bCs/>
                <w:iCs/>
                <w:szCs w:val="24"/>
                <w:lang w:val="ro-MD"/>
              </w:rPr>
              <w:t>i inginerie</w:t>
            </w:r>
          </w:p>
          <w:p w14:paraId="284F485A" w14:textId="1F2E892B" w:rsidR="00A94B03" w:rsidRPr="00DD57E3" w:rsidRDefault="00A94B03"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Firmele de consultan</w:t>
            </w:r>
            <w:r w:rsidR="00D84F0C" w:rsidRPr="00DD57E3">
              <w:rPr>
                <w:rFonts w:cs="Times New Roman"/>
                <w:bCs/>
                <w:iCs/>
                <w:szCs w:val="24"/>
                <w:lang w:val="ro-MD"/>
              </w:rPr>
              <w:t>ț</w:t>
            </w:r>
            <w:r w:rsidRPr="00DD57E3">
              <w:rPr>
                <w:rFonts w:cs="Times New Roman"/>
                <w:bCs/>
                <w:iCs/>
                <w:szCs w:val="24"/>
                <w:lang w:val="ro-MD"/>
              </w:rPr>
              <w:t>ă, în special cele care oferă expertiză în domeniul respectării normelor de mediu, al achizi</w:t>
            </w:r>
            <w:r w:rsidR="00D84F0C" w:rsidRPr="00DD57E3">
              <w:rPr>
                <w:rFonts w:cs="Times New Roman"/>
                <w:bCs/>
                <w:iCs/>
                <w:szCs w:val="24"/>
                <w:lang w:val="ro-MD"/>
              </w:rPr>
              <w:t>ț</w:t>
            </w:r>
            <w:r w:rsidRPr="00DD57E3">
              <w:rPr>
                <w:rFonts w:cs="Times New Roman"/>
                <w:bCs/>
                <w:iCs/>
                <w:szCs w:val="24"/>
                <w:lang w:val="ro-MD"/>
              </w:rPr>
              <w:t xml:space="preserve">iilor publice, al dezvoltării infrastructurii </w:t>
            </w:r>
            <w:r w:rsidR="00D84F0C" w:rsidRPr="00DD57E3">
              <w:rPr>
                <w:rFonts w:cs="Times New Roman"/>
                <w:bCs/>
                <w:iCs/>
                <w:szCs w:val="24"/>
                <w:lang w:val="ro-MD"/>
              </w:rPr>
              <w:t>ș</w:t>
            </w:r>
            <w:r w:rsidRPr="00DD57E3">
              <w:rPr>
                <w:rFonts w:cs="Times New Roman"/>
                <w:bCs/>
                <w:iCs/>
                <w:szCs w:val="24"/>
                <w:lang w:val="ro-MD"/>
              </w:rPr>
              <w:t>i al gestionării parcului auto, vor fi solicitate pentru a sprijini atât autorită</w:t>
            </w:r>
            <w:r w:rsidR="00D84F0C" w:rsidRPr="00DD57E3">
              <w:rPr>
                <w:rFonts w:cs="Times New Roman"/>
                <w:bCs/>
                <w:iCs/>
                <w:szCs w:val="24"/>
                <w:lang w:val="ro-MD"/>
              </w:rPr>
              <w:t>ț</w:t>
            </w:r>
            <w:r w:rsidRPr="00DD57E3">
              <w:rPr>
                <w:rFonts w:cs="Times New Roman"/>
                <w:bCs/>
                <w:iCs/>
                <w:szCs w:val="24"/>
                <w:lang w:val="ro-MD"/>
              </w:rPr>
              <w:t xml:space="preserve">ile publice, cât </w:t>
            </w:r>
            <w:r w:rsidR="00D84F0C" w:rsidRPr="00DD57E3">
              <w:rPr>
                <w:rFonts w:cs="Times New Roman"/>
                <w:bCs/>
                <w:iCs/>
                <w:szCs w:val="24"/>
                <w:lang w:val="ro-MD"/>
              </w:rPr>
              <w:t>ș</w:t>
            </w:r>
            <w:r w:rsidRPr="00DD57E3">
              <w:rPr>
                <w:rFonts w:cs="Times New Roman"/>
                <w:bCs/>
                <w:iCs/>
                <w:szCs w:val="24"/>
                <w:lang w:val="ro-MD"/>
              </w:rPr>
              <w:t>i companiile private în timpul tranzi</w:t>
            </w:r>
            <w:r w:rsidR="00D84F0C" w:rsidRPr="00DD57E3">
              <w:rPr>
                <w:rFonts w:cs="Times New Roman"/>
                <w:bCs/>
                <w:iCs/>
                <w:szCs w:val="24"/>
                <w:lang w:val="ro-MD"/>
              </w:rPr>
              <w:t>ț</w:t>
            </w:r>
            <w:r w:rsidRPr="00DD57E3">
              <w:rPr>
                <w:rFonts w:cs="Times New Roman"/>
                <w:bCs/>
                <w:iCs/>
                <w:szCs w:val="24"/>
                <w:lang w:val="ro-MD"/>
              </w:rPr>
              <w:t>iei.</w:t>
            </w:r>
          </w:p>
          <w:p w14:paraId="3CD9C1B4" w14:textId="6682852A" w:rsidR="00A94B03" w:rsidRPr="00DD57E3" w:rsidRDefault="00A94B03"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 xml:space="preserve">Firmele de inginerie vor fi, de asemenea, necesare pentru proiectarea </w:t>
            </w:r>
            <w:r w:rsidR="00D84F0C" w:rsidRPr="00DD57E3">
              <w:rPr>
                <w:rFonts w:cs="Times New Roman"/>
                <w:bCs/>
                <w:iCs/>
                <w:szCs w:val="24"/>
                <w:lang w:val="ro-MD"/>
              </w:rPr>
              <w:t>ș</w:t>
            </w:r>
            <w:r w:rsidRPr="00DD57E3">
              <w:rPr>
                <w:rFonts w:cs="Times New Roman"/>
                <w:bCs/>
                <w:iCs/>
                <w:szCs w:val="24"/>
                <w:lang w:val="ro-MD"/>
              </w:rPr>
              <w:t xml:space="preserve">i implementarea infrastructurii de încărcare </w:t>
            </w:r>
            <w:r w:rsidR="00D84F0C" w:rsidRPr="00DD57E3">
              <w:rPr>
                <w:rFonts w:cs="Times New Roman"/>
                <w:bCs/>
                <w:iCs/>
                <w:szCs w:val="24"/>
                <w:lang w:val="ro-MD"/>
              </w:rPr>
              <w:t>ș</w:t>
            </w:r>
            <w:r w:rsidRPr="00DD57E3">
              <w:rPr>
                <w:rFonts w:cs="Times New Roman"/>
                <w:bCs/>
                <w:iCs/>
                <w:szCs w:val="24"/>
                <w:lang w:val="ro-MD"/>
              </w:rPr>
              <w:t>i a sta</w:t>
            </w:r>
            <w:r w:rsidR="00D84F0C" w:rsidRPr="00DD57E3">
              <w:rPr>
                <w:rFonts w:cs="Times New Roman"/>
                <w:bCs/>
                <w:iCs/>
                <w:szCs w:val="24"/>
                <w:lang w:val="ro-MD"/>
              </w:rPr>
              <w:t>ț</w:t>
            </w:r>
            <w:r w:rsidRPr="00DD57E3">
              <w:rPr>
                <w:rFonts w:cs="Times New Roman"/>
                <w:bCs/>
                <w:iCs/>
                <w:szCs w:val="24"/>
                <w:lang w:val="ro-MD"/>
              </w:rPr>
              <w:t xml:space="preserve">iilor de alimentare, precum </w:t>
            </w:r>
            <w:r w:rsidR="00D84F0C" w:rsidRPr="00DD57E3">
              <w:rPr>
                <w:rFonts w:cs="Times New Roman"/>
                <w:bCs/>
                <w:iCs/>
                <w:szCs w:val="24"/>
                <w:lang w:val="ro-MD"/>
              </w:rPr>
              <w:t>ș</w:t>
            </w:r>
            <w:r w:rsidRPr="00DD57E3">
              <w:rPr>
                <w:rFonts w:cs="Times New Roman"/>
                <w:bCs/>
                <w:iCs/>
                <w:szCs w:val="24"/>
                <w:lang w:val="ro-MD"/>
              </w:rPr>
              <w:t>i pentru integrarea noilor vehicule în re</w:t>
            </w:r>
            <w:r w:rsidR="00D84F0C" w:rsidRPr="00DD57E3">
              <w:rPr>
                <w:rFonts w:cs="Times New Roman"/>
                <w:bCs/>
                <w:iCs/>
                <w:szCs w:val="24"/>
                <w:lang w:val="ro-MD"/>
              </w:rPr>
              <w:t>ț</w:t>
            </w:r>
            <w:r w:rsidRPr="00DD57E3">
              <w:rPr>
                <w:rFonts w:cs="Times New Roman"/>
                <w:bCs/>
                <w:iCs/>
                <w:szCs w:val="24"/>
                <w:lang w:val="ro-MD"/>
              </w:rPr>
              <w:t>eaua de transport existentă.</w:t>
            </w:r>
          </w:p>
          <w:p w14:paraId="4B81283D" w14:textId="63328877" w:rsidR="00045790" w:rsidRPr="00DD57E3" w:rsidRDefault="00045790" w:rsidP="00045790">
            <w:pPr>
              <w:tabs>
                <w:tab w:val="left" w:pos="990"/>
              </w:tabs>
              <w:spacing w:after="12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Noua lege va restructura pia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a pentru păr</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ile interesate:</w:t>
            </w:r>
          </w:p>
          <w:p w14:paraId="4768958A" w14:textId="6C132E3E" w:rsidR="00045790" w:rsidRPr="00DD57E3" w:rsidRDefault="00045790"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Cre</w:t>
            </w:r>
            <w:r w:rsidR="00D84F0C" w:rsidRPr="00DD57E3">
              <w:rPr>
                <w:rFonts w:cs="Times New Roman"/>
                <w:bCs/>
                <w:iCs/>
                <w:szCs w:val="24"/>
                <w:lang w:val="ro-MD"/>
              </w:rPr>
              <w:t>ș</w:t>
            </w:r>
            <w:r w:rsidRPr="00DD57E3">
              <w:rPr>
                <w:rFonts w:cs="Times New Roman"/>
                <w:bCs/>
                <w:iCs/>
                <w:szCs w:val="24"/>
                <w:lang w:val="ro-MD"/>
              </w:rPr>
              <w:t>terea costurilor flotei: Operatorii vor trebui să achizi</w:t>
            </w:r>
            <w:r w:rsidR="00D84F0C" w:rsidRPr="00DD57E3">
              <w:rPr>
                <w:rFonts w:cs="Times New Roman"/>
                <w:bCs/>
                <w:iCs/>
                <w:szCs w:val="24"/>
                <w:lang w:val="ro-MD"/>
              </w:rPr>
              <w:t>ț</w:t>
            </w:r>
            <w:r w:rsidRPr="00DD57E3">
              <w:rPr>
                <w:rFonts w:cs="Times New Roman"/>
                <w:bCs/>
                <w:iCs/>
                <w:szCs w:val="24"/>
                <w:lang w:val="ro-MD"/>
              </w:rPr>
              <w:t>ioneze vehicule cu emisii reduse, care sunt de obicei mai scumpe decât vehiculele conven</w:t>
            </w:r>
            <w:r w:rsidR="00D84F0C" w:rsidRPr="00DD57E3">
              <w:rPr>
                <w:rFonts w:cs="Times New Roman"/>
                <w:bCs/>
                <w:iCs/>
                <w:szCs w:val="24"/>
                <w:lang w:val="ro-MD"/>
              </w:rPr>
              <w:t>ț</w:t>
            </w:r>
            <w:r w:rsidRPr="00DD57E3">
              <w:rPr>
                <w:rFonts w:cs="Times New Roman"/>
                <w:bCs/>
                <w:iCs/>
                <w:szCs w:val="24"/>
                <w:lang w:val="ro-MD"/>
              </w:rPr>
              <w:t>ionale (cum ar fi autobuzele diesel). Acest lucru le va cre</w:t>
            </w:r>
            <w:r w:rsidR="00D84F0C" w:rsidRPr="00DD57E3">
              <w:rPr>
                <w:rFonts w:cs="Times New Roman"/>
                <w:bCs/>
                <w:iCs/>
                <w:szCs w:val="24"/>
                <w:lang w:val="ro-MD"/>
              </w:rPr>
              <w:t>ș</w:t>
            </w:r>
            <w:r w:rsidRPr="00DD57E3">
              <w:rPr>
                <w:rFonts w:cs="Times New Roman"/>
                <w:bCs/>
                <w:iCs/>
                <w:szCs w:val="24"/>
                <w:lang w:val="ro-MD"/>
              </w:rPr>
              <w:t>te cheltuielile de capital. Operatorii vor trebui, de asemenea, să investească în infrastructura necesară, cum ar fi sta</w:t>
            </w:r>
            <w:r w:rsidR="00D84F0C" w:rsidRPr="00DD57E3">
              <w:rPr>
                <w:rFonts w:cs="Times New Roman"/>
                <w:bCs/>
                <w:iCs/>
                <w:szCs w:val="24"/>
                <w:lang w:val="ro-MD"/>
              </w:rPr>
              <w:t>ț</w:t>
            </w:r>
            <w:r w:rsidRPr="00DD57E3">
              <w:rPr>
                <w:rFonts w:cs="Times New Roman"/>
                <w:bCs/>
                <w:iCs/>
                <w:szCs w:val="24"/>
                <w:lang w:val="ro-MD"/>
              </w:rPr>
              <w:t>iile de încărcare sau instala</w:t>
            </w:r>
            <w:r w:rsidR="00D84F0C" w:rsidRPr="00DD57E3">
              <w:rPr>
                <w:rFonts w:cs="Times New Roman"/>
                <w:bCs/>
                <w:iCs/>
                <w:szCs w:val="24"/>
                <w:lang w:val="ro-MD"/>
              </w:rPr>
              <w:t>ț</w:t>
            </w:r>
            <w:r w:rsidRPr="00DD57E3">
              <w:rPr>
                <w:rFonts w:cs="Times New Roman"/>
                <w:bCs/>
                <w:iCs/>
                <w:szCs w:val="24"/>
                <w:lang w:val="ro-MD"/>
              </w:rPr>
              <w:t>iile de realimentare cu hidrogen. Această cre</w:t>
            </w:r>
            <w:r w:rsidR="00D84F0C" w:rsidRPr="00DD57E3">
              <w:rPr>
                <w:rFonts w:cs="Times New Roman"/>
                <w:bCs/>
                <w:iCs/>
                <w:szCs w:val="24"/>
                <w:lang w:val="ro-MD"/>
              </w:rPr>
              <w:t>ș</w:t>
            </w:r>
            <w:r w:rsidRPr="00DD57E3">
              <w:rPr>
                <w:rFonts w:cs="Times New Roman"/>
                <w:bCs/>
                <w:iCs/>
                <w:szCs w:val="24"/>
                <w:lang w:val="ro-MD"/>
              </w:rPr>
              <w:t>tere a costurilor ar putea afecta operatorii mai mici sau cu constrângeri financiare, care ar putea avea dificultă</w:t>
            </w:r>
            <w:r w:rsidR="00D84F0C" w:rsidRPr="00DD57E3">
              <w:rPr>
                <w:rFonts w:cs="Times New Roman"/>
                <w:bCs/>
                <w:iCs/>
                <w:szCs w:val="24"/>
                <w:lang w:val="ro-MD"/>
              </w:rPr>
              <w:t>ț</w:t>
            </w:r>
            <w:r w:rsidRPr="00DD57E3">
              <w:rPr>
                <w:rFonts w:cs="Times New Roman"/>
                <w:bCs/>
                <w:iCs/>
                <w:szCs w:val="24"/>
                <w:lang w:val="ro-MD"/>
              </w:rPr>
              <w:t>i în a face fa</w:t>
            </w:r>
            <w:r w:rsidR="00D84F0C" w:rsidRPr="00DD57E3">
              <w:rPr>
                <w:rFonts w:cs="Times New Roman"/>
                <w:bCs/>
                <w:iCs/>
                <w:szCs w:val="24"/>
                <w:lang w:val="ro-MD"/>
              </w:rPr>
              <w:t>ț</w:t>
            </w:r>
            <w:r w:rsidRPr="00DD57E3">
              <w:rPr>
                <w:rFonts w:cs="Times New Roman"/>
                <w:bCs/>
                <w:iCs/>
                <w:szCs w:val="24"/>
                <w:lang w:val="ro-MD"/>
              </w:rPr>
              <w:t>ă tranzi</w:t>
            </w:r>
            <w:r w:rsidR="00D84F0C" w:rsidRPr="00DD57E3">
              <w:rPr>
                <w:rFonts w:cs="Times New Roman"/>
                <w:bCs/>
                <w:iCs/>
                <w:szCs w:val="24"/>
                <w:lang w:val="ro-MD"/>
              </w:rPr>
              <w:t>ț</w:t>
            </w:r>
            <w:r w:rsidRPr="00DD57E3">
              <w:rPr>
                <w:rFonts w:cs="Times New Roman"/>
                <w:bCs/>
                <w:iCs/>
                <w:szCs w:val="24"/>
                <w:lang w:val="ro-MD"/>
              </w:rPr>
              <w:t>iei fără sprijin extern, cum ar fi finan</w:t>
            </w:r>
            <w:r w:rsidR="00D84F0C" w:rsidRPr="00DD57E3">
              <w:rPr>
                <w:rFonts w:cs="Times New Roman"/>
                <w:bCs/>
                <w:iCs/>
                <w:szCs w:val="24"/>
                <w:lang w:val="ro-MD"/>
              </w:rPr>
              <w:t>ț</w:t>
            </w:r>
            <w:r w:rsidRPr="00DD57E3">
              <w:rPr>
                <w:rFonts w:cs="Times New Roman"/>
                <w:bCs/>
                <w:iCs/>
                <w:szCs w:val="24"/>
                <w:lang w:val="ro-MD"/>
              </w:rPr>
              <w:t>area sau subven</w:t>
            </w:r>
            <w:r w:rsidR="00D84F0C" w:rsidRPr="00DD57E3">
              <w:rPr>
                <w:rFonts w:cs="Times New Roman"/>
                <w:bCs/>
                <w:iCs/>
                <w:szCs w:val="24"/>
                <w:lang w:val="ro-MD"/>
              </w:rPr>
              <w:t>ț</w:t>
            </w:r>
            <w:r w:rsidRPr="00DD57E3">
              <w:rPr>
                <w:rFonts w:cs="Times New Roman"/>
                <w:bCs/>
                <w:iCs/>
                <w:szCs w:val="24"/>
                <w:lang w:val="ro-MD"/>
              </w:rPr>
              <w:t>iile.</w:t>
            </w:r>
          </w:p>
          <w:p w14:paraId="123DA348" w14:textId="53959B88" w:rsidR="00045790" w:rsidRPr="00DD57E3" w:rsidRDefault="00045790"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Modificări ale achizi</w:t>
            </w:r>
            <w:r w:rsidR="00D84F0C" w:rsidRPr="00DD57E3">
              <w:rPr>
                <w:rFonts w:cs="Times New Roman"/>
                <w:bCs/>
                <w:iCs/>
                <w:szCs w:val="24"/>
                <w:lang w:val="ro-MD"/>
              </w:rPr>
              <w:t>ț</w:t>
            </w:r>
            <w:r w:rsidRPr="00DD57E3">
              <w:rPr>
                <w:rFonts w:cs="Times New Roman"/>
                <w:bCs/>
                <w:iCs/>
                <w:szCs w:val="24"/>
                <w:lang w:val="ro-MD"/>
              </w:rPr>
              <w:t>iilor publice: Având în vedere că autorită</w:t>
            </w:r>
            <w:r w:rsidR="00D84F0C" w:rsidRPr="00DD57E3">
              <w:rPr>
                <w:rFonts w:cs="Times New Roman"/>
                <w:bCs/>
                <w:iCs/>
                <w:szCs w:val="24"/>
                <w:lang w:val="ro-MD"/>
              </w:rPr>
              <w:t>ț</w:t>
            </w:r>
            <w:r w:rsidRPr="00DD57E3">
              <w:rPr>
                <w:rFonts w:cs="Times New Roman"/>
                <w:bCs/>
                <w:iCs/>
                <w:szCs w:val="24"/>
                <w:lang w:val="ro-MD"/>
              </w:rPr>
              <w:t>ile publice vor specific</w:t>
            </w:r>
            <w:r w:rsidR="007D4931" w:rsidRPr="00DD57E3">
              <w:rPr>
                <w:rFonts w:cs="Times New Roman"/>
                <w:bCs/>
                <w:iCs/>
                <w:szCs w:val="24"/>
                <w:lang w:val="ro-MD"/>
              </w:rPr>
              <w:t>a</w:t>
            </w:r>
            <w:r w:rsidRPr="00DD57E3">
              <w:rPr>
                <w:rFonts w:cs="Times New Roman"/>
                <w:bCs/>
                <w:iCs/>
                <w:szCs w:val="24"/>
                <w:lang w:val="ro-MD"/>
              </w:rPr>
              <w:t xml:space="preserve"> vehicule cu emisii reduse atunci când contractează servicii de transport rutier, procesul de achizi</w:t>
            </w:r>
            <w:r w:rsidR="00D84F0C" w:rsidRPr="00DD57E3">
              <w:rPr>
                <w:rFonts w:cs="Times New Roman"/>
                <w:bCs/>
                <w:iCs/>
                <w:szCs w:val="24"/>
                <w:lang w:val="ro-MD"/>
              </w:rPr>
              <w:t>ț</w:t>
            </w:r>
            <w:r w:rsidRPr="00DD57E3">
              <w:rPr>
                <w:rFonts w:cs="Times New Roman"/>
                <w:bCs/>
                <w:iCs/>
                <w:szCs w:val="24"/>
                <w:lang w:val="ro-MD"/>
              </w:rPr>
              <w:t xml:space="preserve">ii </w:t>
            </w:r>
            <w:r w:rsidRPr="00DD57E3">
              <w:rPr>
                <w:rFonts w:cs="Times New Roman"/>
                <w:bCs/>
                <w:iCs/>
                <w:szCs w:val="24"/>
                <w:lang w:val="ro-MD"/>
              </w:rPr>
              <w:lastRenderedPageBreak/>
              <w:t>publice va deveni mai complex. Operatorii vor trebui să prezinte oferte care să îndeplinească criteriile stricte de mediu. Trecerea la flote cu emisii reduse ar putea avea, de asemenea, un impact asupra dinamicii concuren</w:t>
            </w:r>
            <w:r w:rsidR="00D84F0C" w:rsidRPr="00DD57E3">
              <w:rPr>
                <w:rFonts w:cs="Times New Roman"/>
                <w:bCs/>
                <w:iCs/>
                <w:szCs w:val="24"/>
                <w:lang w:val="ro-MD"/>
              </w:rPr>
              <w:t>ț</w:t>
            </w:r>
            <w:r w:rsidRPr="00DD57E3">
              <w:rPr>
                <w:rFonts w:cs="Times New Roman"/>
                <w:bCs/>
                <w:iCs/>
                <w:szCs w:val="24"/>
                <w:lang w:val="ro-MD"/>
              </w:rPr>
              <w:t>iale a proceselor de licita</w:t>
            </w:r>
            <w:r w:rsidR="00D84F0C" w:rsidRPr="00DD57E3">
              <w:rPr>
                <w:rFonts w:cs="Times New Roman"/>
                <w:bCs/>
                <w:iCs/>
                <w:szCs w:val="24"/>
                <w:lang w:val="ro-MD"/>
              </w:rPr>
              <w:t>ț</w:t>
            </w:r>
            <w:r w:rsidRPr="00DD57E3">
              <w:rPr>
                <w:rFonts w:cs="Times New Roman"/>
                <w:bCs/>
                <w:iCs/>
                <w:szCs w:val="24"/>
                <w:lang w:val="ro-MD"/>
              </w:rPr>
              <w:t>ie, în special dacă operatorii care adoptă mai lent tehnologiile nepoluante au dificultă</w:t>
            </w:r>
            <w:r w:rsidR="00D84F0C" w:rsidRPr="00DD57E3">
              <w:rPr>
                <w:rFonts w:cs="Times New Roman"/>
                <w:bCs/>
                <w:iCs/>
                <w:szCs w:val="24"/>
                <w:lang w:val="ro-MD"/>
              </w:rPr>
              <w:t>ț</w:t>
            </w:r>
            <w:r w:rsidRPr="00DD57E3">
              <w:rPr>
                <w:rFonts w:cs="Times New Roman"/>
                <w:bCs/>
                <w:iCs/>
                <w:szCs w:val="24"/>
                <w:lang w:val="ro-MD"/>
              </w:rPr>
              <w:t>i în a concura.</w:t>
            </w:r>
          </w:p>
          <w:p w14:paraId="61ADB3F5" w14:textId="1B960B08" w:rsidR="00045790" w:rsidRPr="00DD57E3" w:rsidRDefault="00045790"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Cre</w:t>
            </w:r>
            <w:r w:rsidR="00D84F0C" w:rsidRPr="00DD57E3">
              <w:rPr>
                <w:rFonts w:cs="Times New Roman"/>
                <w:bCs/>
                <w:iCs/>
                <w:szCs w:val="24"/>
                <w:lang w:val="ro-MD"/>
              </w:rPr>
              <w:t>ș</w:t>
            </w:r>
            <w:r w:rsidRPr="00DD57E3">
              <w:rPr>
                <w:rFonts w:cs="Times New Roman"/>
                <w:bCs/>
                <w:iCs/>
                <w:szCs w:val="24"/>
                <w:lang w:val="ro-MD"/>
              </w:rPr>
              <w:t>terea costurilor opera</w:t>
            </w:r>
            <w:r w:rsidR="00D84F0C" w:rsidRPr="00DD57E3">
              <w:rPr>
                <w:rFonts w:cs="Times New Roman"/>
                <w:bCs/>
                <w:iCs/>
                <w:szCs w:val="24"/>
                <w:lang w:val="ro-MD"/>
              </w:rPr>
              <w:t>ț</w:t>
            </w:r>
            <w:r w:rsidRPr="00DD57E3">
              <w:rPr>
                <w:rFonts w:cs="Times New Roman"/>
                <w:bCs/>
                <w:iCs/>
                <w:szCs w:val="24"/>
                <w:lang w:val="ro-MD"/>
              </w:rPr>
              <w:t>ionale pe termen scurt: De</w:t>
            </w:r>
            <w:r w:rsidR="00D84F0C" w:rsidRPr="00DD57E3">
              <w:rPr>
                <w:rFonts w:cs="Times New Roman"/>
                <w:bCs/>
                <w:iCs/>
                <w:szCs w:val="24"/>
                <w:lang w:val="ro-MD"/>
              </w:rPr>
              <w:t>ș</w:t>
            </w:r>
            <w:r w:rsidRPr="00DD57E3">
              <w:rPr>
                <w:rFonts w:cs="Times New Roman"/>
                <w:bCs/>
                <w:iCs/>
                <w:szCs w:val="24"/>
                <w:lang w:val="ro-MD"/>
              </w:rPr>
              <w:t>i vehiculele cu emisii reduse au costuri opera</w:t>
            </w:r>
            <w:r w:rsidR="00D84F0C" w:rsidRPr="00DD57E3">
              <w:rPr>
                <w:rFonts w:cs="Times New Roman"/>
                <w:bCs/>
                <w:iCs/>
                <w:szCs w:val="24"/>
                <w:lang w:val="ro-MD"/>
              </w:rPr>
              <w:t>ț</w:t>
            </w:r>
            <w:r w:rsidRPr="00DD57E3">
              <w:rPr>
                <w:rFonts w:cs="Times New Roman"/>
                <w:bCs/>
                <w:iCs/>
                <w:szCs w:val="24"/>
                <w:lang w:val="ro-MD"/>
              </w:rPr>
              <w:t xml:space="preserve">ionale mai mici în timp (datorită economiilor de combustibil </w:t>
            </w:r>
            <w:r w:rsidR="00D84F0C" w:rsidRPr="00DD57E3">
              <w:rPr>
                <w:rFonts w:cs="Times New Roman"/>
                <w:bCs/>
                <w:iCs/>
                <w:szCs w:val="24"/>
                <w:lang w:val="ro-MD"/>
              </w:rPr>
              <w:t>ș</w:t>
            </w:r>
            <w:r w:rsidRPr="00DD57E3">
              <w:rPr>
                <w:rFonts w:cs="Times New Roman"/>
                <w:bCs/>
                <w:iCs/>
                <w:szCs w:val="24"/>
                <w:lang w:val="ro-MD"/>
              </w:rPr>
              <w:t>i între</w:t>
            </w:r>
            <w:r w:rsidR="00D84F0C" w:rsidRPr="00DD57E3">
              <w:rPr>
                <w:rFonts w:cs="Times New Roman"/>
                <w:bCs/>
                <w:iCs/>
                <w:szCs w:val="24"/>
                <w:lang w:val="ro-MD"/>
              </w:rPr>
              <w:t>ț</w:t>
            </w:r>
            <w:r w:rsidRPr="00DD57E3">
              <w:rPr>
                <w:rFonts w:cs="Times New Roman"/>
                <w:bCs/>
                <w:iCs/>
                <w:szCs w:val="24"/>
                <w:lang w:val="ro-MD"/>
              </w:rPr>
              <w:t>inerii reduse), operatorii se pot confrunta ini</w:t>
            </w:r>
            <w:r w:rsidR="00D84F0C" w:rsidRPr="00DD57E3">
              <w:rPr>
                <w:rFonts w:cs="Times New Roman"/>
                <w:bCs/>
                <w:iCs/>
                <w:szCs w:val="24"/>
                <w:lang w:val="ro-MD"/>
              </w:rPr>
              <w:t>ț</w:t>
            </w:r>
            <w:r w:rsidRPr="00DD57E3">
              <w:rPr>
                <w:rFonts w:cs="Times New Roman"/>
                <w:bCs/>
                <w:iCs/>
                <w:szCs w:val="24"/>
                <w:lang w:val="ro-MD"/>
              </w:rPr>
              <w:t>ial cu costuri opera</w:t>
            </w:r>
            <w:r w:rsidR="00D84F0C" w:rsidRPr="00DD57E3">
              <w:rPr>
                <w:rFonts w:cs="Times New Roman"/>
                <w:bCs/>
                <w:iCs/>
                <w:szCs w:val="24"/>
                <w:lang w:val="ro-MD"/>
              </w:rPr>
              <w:t>ț</w:t>
            </w:r>
            <w:r w:rsidRPr="00DD57E3">
              <w:rPr>
                <w:rFonts w:cs="Times New Roman"/>
                <w:bCs/>
                <w:iCs/>
                <w:szCs w:val="24"/>
                <w:lang w:val="ro-MD"/>
              </w:rPr>
              <w:t>ionale mai mari din cauza lipsei de familiarizare cu noile tehnologii, a necesită</w:t>
            </w:r>
            <w:r w:rsidR="00D84F0C" w:rsidRPr="00DD57E3">
              <w:rPr>
                <w:rFonts w:cs="Times New Roman"/>
                <w:bCs/>
                <w:iCs/>
                <w:szCs w:val="24"/>
                <w:lang w:val="ro-MD"/>
              </w:rPr>
              <w:t>ț</w:t>
            </w:r>
            <w:r w:rsidRPr="00DD57E3">
              <w:rPr>
                <w:rFonts w:cs="Times New Roman"/>
                <w:bCs/>
                <w:iCs/>
                <w:szCs w:val="24"/>
                <w:lang w:val="ro-MD"/>
              </w:rPr>
              <w:t xml:space="preserve">ii de a instrui personalul în exploatarea </w:t>
            </w:r>
            <w:r w:rsidR="00D84F0C" w:rsidRPr="00DD57E3">
              <w:rPr>
                <w:rFonts w:cs="Times New Roman"/>
                <w:bCs/>
                <w:iCs/>
                <w:szCs w:val="24"/>
                <w:lang w:val="ro-MD"/>
              </w:rPr>
              <w:t>ș</w:t>
            </w:r>
            <w:r w:rsidRPr="00DD57E3">
              <w:rPr>
                <w:rFonts w:cs="Times New Roman"/>
                <w:bCs/>
                <w:iCs/>
                <w:szCs w:val="24"/>
                <w:lang w:val="ro-MD"/>
              </w:rPr>
              <w:t>i între</w:t>
            </w:r>
            <w:r w:rsidR="00D84F0C" w:rsidRPr="00DD57E3">
              <w:rPr>
                <w:rFonts w:cs="Times New Roman"/>
                <w:bCs/>
                <w:iCs/>
                <w:szCs w:val="24"/>
                <w:lang w:val="ro-MD"/>
              </w:rPr>
              <w:t>ț</w:t>
            </w:r>
            <w:r w:rsidRPr="00DD57E3">
              <w:rPr>
                <w:rFonts w:cs="Times New Roman"/>
                <w:bCs/>
                <w:iCs/>
                <w:szCs w:val="24"/>
                <w:lang w:val="ro-MD"/>
              </w:rPr>
              <w:t>inerea vehiculelor electrice sau alimentate cu hidrogen.</w:t>
            </w:r>
          </w:p>
          <w:p w14:paraId="5FDD9DB0" w14:textId="7C0C1521" w:rsidR="00045790" w:rsidRPr="00DD57E3" w:rsidRDefault="00045790"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Consolidarea pie</w:t>
            </w:r>
            <w:r w:rsidR="00D84F0C" w:rsidRPr="00DD57E3">
              <w:rPr>
                <w:rFonts w:cs="Times New Roman"/>
                <w:bCs/>
                <w:iCs/>
                <w:szCs w:val="24"/>
                <w:lang w:val="ro-MD"/>
              </w:rPr>
              <w:t>ț</w:t>
            </w:r>
            <w:r w:rsidRPr="00DD57E3">
              <w:rPr>
                <w:rFonts w:cs="Times New Roman"/>
                <w:bCs/>
                <w:iCs/>
                <w:szCs w:val="24"/>
                <w:lang w:val="ro-MD"/>
              </w:rPr>
              <w:t xml:space="preserve">ei: </w:t>
            </w:r>
            <w:r w:rsidR="00B65862" w:rsidRPr="00DD57E3">
              <w:rPr>
                <w:rFonts w:cs="Times New Roman"/>
                <w:bCs/>
                <w:iCs/>
                <w:szCs w:val="24"/>
                <w:lang w:val="ro-MD"/>
              </w:rPr>
              <w:t>Există probabilitatea ca c</w:t>
            </w:r>
            <w:r w:rsidRPr="00DD57E3">
              <w:rPr>
                <w:rFonts w:cs="Times New Roman"/>
                <w:bCs/>
                <w:iCs/>
                <w:szCs w:val="24"/>
                <w:lang w:val="ro-MD"/>
              </w:rPr>
              <w:t xml:space="preserve">ompaniile de transport mai mici </w:t>
            </w:r>
            <w:r w:rsidR="00634B28" w:rsidRPr="00DD57E3">
              <w:rPr>
                <w:rFonts w:cs="Times New Roman"/>
                <w:bCs/>
                <w:iCs/>
                <w:szCs w:val="24"/>
                <w:lang w:val="ro-MD"/>
              </w:rPr>
              <w:t>să</w:t>
            </w:r>
            <w:r w:rsidRPr="00DD57E3">
              <w:rPr>
                <w:rFonts w:cs="Times New Roman"/>
                <w:bCs/>
                <w:iCs/>
                <w:szCs w:val="24"/>
                <w:lang w:val="ro-MD"/>
              </w:rPr>
              <w:t xml:space="preserve"> nu î</w:t>
            </w:r>
            <w:r w:rsidR="00D84F0C" w:rsidRPr="00DD57E3">
              <w:rPr>
                <w:rFonts w:cs="Times New Roman"/>
                <w:bCs/>
                <w:iCs/>
                <w:szCs w:val="24"/>
                <w:lang w:val="ro-MD"/>
              </w:rPr>
              <w:t>ș</w:t>
            </w:r>
            <w:r w:rsidRPr="00DD57E3">
              <w:rPr>
                <w:rFonts w:cs="Times New Roman"/>
                <w:bCs/>
                <w:iCs/>
                <w:szCs w:val="24"/>
                <w:lang w:val="ro-MD"/>
              </w:rPr>
              <w:t>i po</w:t>
            </w:r>
            <w:r w:rsidR="00634B28" w:rsidRPr="00DD57E3">
              <w:rPr>
                <w:rFonts w:cs="Times New Roman"/>
                <w:bCs/>
                <w:iCs/>
                <w:szCs w:val="24"/>
                <w:lang w:val="ro-MD"/>
              </w:rPr>
              <w:t>a</w:t>
            </w:r>
            <w:r w:rsidRPr="00DD57E3">
              <w:rPr>
                <w:rFonts w:cs="Times New Roman"/>
                <w:bCs/>
                <w:iCs/>
                <w:szCs w:val="24"/>
                <w:lang w:val="ro-MD"/>
              </w:rPr>
              <w:t>t</w:t>
            </w:r>
            <w:r w:rsidR="00634B28" w:rsidRPr="00DD57E3">
              <w:rPr>
                <w:rFonts w:cs="Times New Roman"/>
                <w:bCs/>
                <w:iCs/>
                <w:szCs w:val="24"/>
                <w:lang w:val="ro-MD"/>
              </w:rPr>
              <w:t>ă</w:t>
            </w:r>
            <w:r w:rsidRPr="00DD57E3">
              <w:rPr>
                <w:rFonts w:cs="Times New Roman"/>
                <w:bCs/>
                <w:iCs/>
                <w:szCs w:val="24"/>
                <w:lang w:val="ro-MD"/>
              </w:rPr>
              <w:t xml:space="preserve"> permite tranzi</w:t>
            </w:r>
            <w:r w:rsidR="00D84F0C" w:rsidRPr="00DD57E3">
              <w:rPr>
                <w:rFonts w:cs="Times New Roman"/>
                <w:bCs/>
                <w:iCs/>
                <w:szCs w:val="24"/>
                <w:lang w:val="ro-MD"/>
              </w:rPr>
              <w:t>ț</w:t>
            </w:r>
            <w:r w:rsidRPr="00DD57E3">
              <w:rPr>
                <w:rFonts w:cs="Times New Roman"/>
                <w:bCs/>
                <w:iCs/>
                <w:szCs w:val="24"/>
                <w:lang w:val="ro-MD"/>
              </w:rPr>
              <w:t xml:space="preserve">ia la vehicule cu emisii reduse ducând </w:t>
            </w:r>
            <w:r w:rsidR="00634B28" w:rsidRPr="00DD57E3">
              <w:rPr>
                <w:rFonts w:cs="Times New Roman"/>
                <w:bCs/>
                <w:iCs/>
                <w:szCs w:val="24"/>
                <w:lang w:val="ro-MD"/>
              </w:rPr>
              <w:t xml:space="preserve">indirect </w:t>
            </w:r>
            <w:r w:rsidRPr="00DD57E3">
              <w:rPr>
                <w:rFonts w:cs="Times New Roman"/>
                <w:bCs/>
                <w:iCs/>
                <w:szCs w:val="24"/>
                <w:lang w:val="ro-MD"/>
              </w:rPr>
              <w:t>la o consolidare a industriei. Operatorii mai mari care au capacitatea financiară de a investi în tehnologii ecologice vor fi mai bine pozi</w:t>
            </w:r>
            <w:r w:rsidR="00D84F0C" w:rsidRPr="00DD57E3">
              <w:rPr>
                <w:rFonts w:cs="Times New Roman"/>
                <w:bCs/>
                <w:iCs/>
                <w:szCs w:val="24"/>
                <w:lang w:val="ro-MD"/>
              </w:rPr>
              <w:t>ț</w:t>
            </w:r>
            <w:r w:rsidRPr="00DD57E3">
              <w:rPr>
                <w:rFonts w:cs="Times New Roman"/>
                <w:bCs/>
                <w:iCs/>
                <w:szCs w:val="24"/>
                <w:lang w:val="ro-MD"/>
              </w:rPr>
              <w:t>iona</w:t>
            </w:r>
            <w:r w:rsidR="00D84F0C" w:rsidRPr="00DD57E3">
              <w:rPr>
                <w:rFonts w:cs="Times New Roman"/>
                <w:bCs/>
                <w:iCs/>
                <w:szCs w:val="24"/>
                <w:lang w:val="ro-MD"/>
              </w:rPr>
              <w:t>ț</w:t>
            </w:r>
            <w:r w:rsidRPr="00DD57E3">
              <w:rPr>
                <w:rFonts w:cs="Times New Roman"/>
                <w:bCs/>
                <w:iCs/>
                <w:szCs w:val="24"/>
                <w:lang w:val="ro-MD"/>
              </w:rPr>
              <w:t>i pentru a prospera. Cu toate acestea, pe termen lung, operatorii care fac tranzi</w:t>
            </w:r>
            <w:r w:rsidR="00D84F0C" w:rsidRPr="00DD57E3">
              <w:rPr>
                <w:rFonts w:cs="Times New Roman"/>
                <w:bCs/>
                <w:iCs/>
                <w:szCs w:val="24"/>
                <w:lang w:val="ro-MD"/>
              </w:rPr>
              <w:t>ț</w:t>
            </w:r>
            <w:r w:rsidRPr="00DD57E3">
              <w:rPr>
                <w:rFonts w:cs="Times New Roman"/>
                <w:bCs/>
                <w:iCs/>
                <w:szCs w:val="24"/>
                <w:lang w:val="ro-MD"/>
              </w:rPr>
              <w:t>ia vor beneficia probabil de un avantaj competitiv datorită capacită</w:t>
            </w:r>
            <w:r w:rsidR="00D84F0C" w:rsidRPr="00DD57E3">
              <w:rPr>
                <w:rFonts w:cs="Times New Roman"/>
                <w:bCs/>
                <w:iCs/>
                <w:szCs w:val="24"/>
                <w:lang w:val="ro-MD"/>
              </w:rPr>
              <w:t>ț</w:t>
            </w:r>
            <w:r w:rsidRPr="00DD57E3">
              <w:rPr>
                <w:rFonts w:cs="Times New Roman"/>
                <w:bCs/>
                <w:iCs/>
                <w:szCs w:val="24"/>
                <w:lang w:val="ro-MD"/>
              </w:rPr>
              <w:t xml:space="preserve">ii lor de a oferi servicii mai curate </w:t>
            </w:r>
            <w:r w:rsidR="00D84F0C" w:rsidRPr="00DD57E3">
              <w:rPr>
                <w:rFonts w:cs="Times New Roman"/>
                <w:bCs/>
                <w:iCs/>
                <w:szCs w:val="24"/>
                <w:lang w:val="ro-MD"/>
              </w:rPr>
              <w:t>ș</w:t>
            </w:r>
            <w:r w:rsidRPr="00DD57E3">
              <w:rPr>
                <w:rFonts w:cs="Times New Roman"/>
                <w:bCs/>
                <w:iCs/>
                <w:szCs w:val="24"/>
                <w:lang w:val="ro-MD"/>
              </w:rPr>
              <w:t>i mai durabile.</w:t>
            </w:r>
          </w:p>
          <w:p w14:paraId="1C6A62A3" w14:textId="530995CE" w:rsidR="00045790" w:rsidRPr="00DD57E3" w:rsidRDefault="00045790"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O nouă pia</w:t>
            </w:r>
            <w:r w:rsidR="00D84F0C" w:rsidRPr="00DD57E3">
              <w:rPr>
                <w:rFonts w:cs="Times New Roman"/>
                <w:bCs/>
                <w:iCs/>
                <w:szCs w:val="24"/>
                <w:lang w:val="ro-MD"/>
              </w:rPr>
              <w:t>ț</w:t>
            </w:r>
            <w:r w:rsidRPr="00DD57E3">
              <w:rPr>
                <w:rFonts w:cs="Times New Roman"/>
                <w:bCs/>
                <w:iCs/>
                <w:szCs w:val="24"/>
                <w:lang w:val="ro-MD"/>
              </w:rPr>
              <w:t xml:space="preserve">ă pentru vehiculele cu emisii reduse: Directiva creează o cerere clară pentru autobuze electrice, vehicule cu hidrogen </w:t>
            </w:r>
            <w:r w:rsidR="00D84F0C" w:rsidRPr="00DD57E3">
              <w:rPr>
                <w:rFonts w:cs="Times New Roman"/>
                <w:bCs/>
                <w:iCs/>
                <w:szCs w:val="24"/>
                <w:lang w:val="ro-MD"/>
              </w:rPr>
              <w:t>ș</w:t>
            </w:r>
            <w:r w:rsidRPr="00DD57E3">
              <w:rPr>
                <w:rFonts w:cs="Times New Roman"/>
                <w:bCs/>
                <w:iCs/>
                <w:szCs w:val="24"/>
                <w:lang w:val="ro-MD"/>
              </w:rPr>
              <w:t>i alte tehnologii curate. Acest lucru ar putea atrage producători străini</w:t>
            </w:r>
            <w:r w:rsidR="00E5699A" w:rsidRPr="00DD57E3">
              <w:rPr>
                <w:rFonts w:cs="Times New Roman"/>
                <w:bCs/>
                <w:iCs/>
                <w:szCs w:val="24"/>
                <w:lang w:val="ro-MD"/>
              </w:rPr>
              <w:t xml:space="preserve"> care sunt prezen</w:t>
            </w:r>
            <w:r w:rsidR="00D84F0C" w:rsidRPr="00DD57E3">
              <w:rPr>
                <w:rFonts w:cs="Times New Roman"/>
                <w:bCs/>
                <w:iCs/>
                <w:szCs w:val="24"/>
                <w:lang w:val="ro-MD"/>
              </w:rPr>
              <w:t>ț</w:t>
            </w:r>
            <w:r w:rsidR="00E5699A" w:rsidRPr="00DD57E3">
              <w:rPr>
                <w:rFonts w:cs="Times New Roman"/>
                <w:bCs/>
                <w:iCs/>
                <w:szCs w:val="24"/>
                <w:lang w:val="ro-MD"/>
              </w:rPr>
              <w:t xml:space="preserve">i sau care doresc să </w:t>
            </w:r>
            <w:r w:rsidR="005F5152" w:rsidRPr="00DD57E3">
              <w:rPr>
                <w:rFonts w:cs="Times New Roman"/>
                <w:bCs/>
                <w:iCs/>
                <w:szCs w:val="24"/>
                <w:lang w:val="ro-MD"/>
              </w:rPr>
              <w:t>într</w:t>
            </w:r>
            <w:r w:rsidR="00866C9E" w:rsidRPr="00DD57E3">
              <w:rPr>
                <w:rFonts w:cs="Times New Roman"/>
                <w:bCs/>
                <w:iCs/>
                <w:szCs w:val="24"/>
                <w:lang w:val="ro-MD"/>
              </w:rPr>
              <w:t>e</w:t>
            </w:r>
            <w:r w:rsidRPr="00DD57E3">
              <w:rPr>
                <w:rFonts w:cs="Times New Roman"/>
                <w:bCs/>
                <w:iCs/>
                <w:szCs w:val="24"/>
                <w:lang w:val="ro-MD"/>
              </w:rPr>
              <w:t xml:space="preserve"> pe pia</w:t>
            </w:r>
            <w:r w:rsidR="00D84F0C" w:rsidRPr="00DD57E3">
              <w:rPr>
                <w:rFonts w:cs="Times New Roman"/>
                <w:bCs/>
                <w:iCs/>
                <w:szCs w:val="24"/>
                <w:lang w:val="ro-MD"/>
              </w:rPr>
              <w:t>ț</w:t>
            </w:r>
            <w:r w:rsidRPr="00DD57E3">
              <w:rPr>
                <w:rFonts w:cs="Times New Roman"/>
                <w:bCs/>
                <w:iCs/>
                <w:szCs w:val="24"/>
                <w:lang w:val="ro-MD"/>
              </w:rPr>
              <w:t>a moldovenească, sporind concuren</w:t>
            </w:r>
            <w:r w:rsidR="00D84F0C" w:rsidRPr="00DD57E3">
              <w:rPr>
                <w:rFonts w:cs="Times New Roman"/>
                <w:bCs/>
                <w:iCs/>
                <w:szCs w:val="24"/>
                <w:lang w:val="ro-MD"/>
              </w:rPr>
              <w:t>ț</w:t>
            </w:r>
            <w:r w:rsidRPr="00DD57E3">
              <w:rPr>
                <w:rFonts w:cs="Times New Roman"/>
                <w:bCs/>
                <w:iCs/>
                <w:szCs w:val="24"/>
                <w:lang w:val="ro-MD"/>
              </w:rPr>
              <w:t xml:space="preserve">a </w:t>
            </w:r>
            <w:r w:rsidR="00D84F0C" w:rsidRPr="00DD57E3">
              <w:rPr>
                <w:rFonts w:cs="Times New Roman"/>
                <w:bCs/>
                <w:iCs/>
                <w:szCs w:val="24"/>
                <w:lang w:val="ro-MD"/>
              </w:rPr>
              <w:t>ș</w:t>
            </w:r>
            <w:r w:rsidRPr="00DD57E3">
              <w:rPr>
                <w:rFonts w:cs="Times New Roman"/>
                <w:bCs/>
                <w:iCs/>
                <w:szCs w:val="24"/>
                <w:lang w:val="ro-MD"/>
              </w:rPr>
              <w:t>i oferind operatorilor de transport o serie de op</w:t>
            </w:r>
            <w:r w:rsidR="00D84F0C" w:rsidRPr="00DD57E3">
              <w:rPr>
                <w:rFonts w:cs="Times New Roman"/>
                <w:bCs/>
                <w:iCs/>
                <w:szCs w:val="24"/>
                <w:lang w:val="ro-MD"/>
              </w:rPr>
              <w:t>ț</w:t>
            </w:r>
            <w:r w:rsidRPr="00DD57E3">
              <w:rPr>
                <w:rFonts w:cs="Times New Roman"/>
                <w:bCs/>
                <w:iCs/>
                <w:szCs w:val="24"/>
                <w:lang w:val="ro-MD"/>
              </w:rPr>
              <w:t>iuni pentru achizi</w:t>
            </w:r>
            <w:r w:rsidR="00D84F0C" w:rsidRPr="00DD57E3">
              <w:rPr>
                <w:rFonts w:cs="Times New Roman"/>
                <w:bCs/>
                <w:iCs/>
                <w:szCs w:val="24"/>
                <w:lang w:val="ro-MD"/>
              </w:rPr>
              <w:t>ț</w:t>
            </w:r>
            <w:r w:rsidRPr="00DD57E3">
              <w:rPr>
                <w:rFonts w:cs="Times New Roman"/>
                <w:bCs/>
                <w:iCs/>
                <w:szCs w:val="24"/>
                <w:lang w:val="ro-MD"/>
              </w:rPr>
              <w:t>ionarea de vehicule.</w:t>
            </w:r>
          </w:p>
          <w:p w14:paraId="3856CCD3" w14:textId="65B766FD" w:rsidR="00045790" w:rsidRPr="00DD57E3" w:rsidRDefault="00045790"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Penetrarea pe pia</w:t>
            </w:r>
            <w:r w:rsidR="00D84F0C" w:rsidRPr="00DD57E3">
              <w:rPr>
                <w:rFonts w:cs="Times New Roman"/>
                <w:bCs/>
                <w:iCs/>
                <w:szCs w:val="24"/>
                <w:lang w:val="ro-MD"/>
              </w:rPr>
              <w:t>ț</w:t>
            </w:r>
            <w:r w:rsidRPr="00DD57E3">
              <w:rPr>
                <w:rFonts w:cs="Times New Roman"/>
                <w:bCs/>
                <w:iCs/>
                <w:szCs w:val="24"/>
                <w:lang w:val="ro-MD"/>
              </w:rPr>
              <w:t>ă: În timp ce unii producători sunt deja activi în</w:t>
            </w:r>
            <w:r w:rsidR="00866C9E" w:rsidRPr="00DD57E3">
              <w:rPr>
                <w:rFonts w:cs="Times New Roman"/>
                <w:bCs/>
                <w:iCs/>
                <w:szCs w:val="24"/>
                <w:lang w:val="ro-MD"/>
              </w:rPr>
              <w:t xml:space="preserve"> Republica</w:t>
            </w:r>
            <w:r w:rsidRPr="00DD57E3">
              <w:rPr>
                <w:rFonts w:cs="Times New Roman"/>
                <w:bCs/>
                <w:iCs/>
                <w:szCs w:val="24"/>
                <w:lang w:val="ro-MD"/>
              </w:rPr>
              <w:t xml:space="preserve"> Moldova, al</w:t>
            </w:r>
            <w:r w:rsidR="00D84F0C" w:rsidRPr="00DD57E3">
              <w:rPr>
                <w:rFonts w:cs="Times New Roman"/>
                <w:bCs/>
                <w:iCs/>
                <w:szCs w:val="24"/>
                <w:lang w:val="ro-MD"/>
              </w:rPr>
              <w:t>ț</w:t>
            </w:r>
            <w:r w:rsidRPr="00DD57E3">
              <w:rPr>
                <w:rFonts w:cs="Times New Roman"/>
                <w:bCs/>
                <w:iCs/>
                <w:szCs w:val="24"/>
                <w:lang w:val="ro-MD"/>
              </w:rPr>
              <w:t xml:space="preserve">ii ar putea vedea transpunerea </w:t>
            </w:r>
            <w:r w:rsidR="00FB5E9C" w:rsidRPr="00DD57E3">
              <w:rPr>
                <w:rFonts w:cs="Times New Roman"/>
                <w:bCs/>
                <w:iCs/>
                <w:szCs w:val="24"/>
                <w:lang w:val="ro-MD"/>
              </w:rPr>
              <w:t xml:space="preserve">Directivei </w:t>
            </w:r>
            <w:r w:rsidRPr="00DD57E3">
              <w:rPr>
                <w:rFonts w:cs="Times New Roman"/>
                <w:bCs/>
                <w:iCs/>
                <w:szCs w:val="24"/>
                <w:lang w:val="ro-MD"/>
              </w:rPr>
              <w:t>ca pe o oportunitate de a intra pe pia</w:t>
            </w:r>
            <w:r w:rsidR="00D84F0C" w:rsidRPr="00DD57E3">
              <w:rPr>
                <w:rFonts w:cs="Times New Roman"/>
                <w:bCs/>
                <w:iCs/>
                <w:szCs w:val="24"/>
                <w:lang w:val="ro-MD"/>
              </w:rPr>
              <w:t>ț</w:t>
            </w:r>
            <w:r w:rsidRPr="00DD57E3">
              <w:rPr>
                <w:rFonts w:cs="Times New Roman"/>
                <w:bCs/>
                <w:iCs/>
                <w:szCs w:val="24"/>
                <w:lang w:val="ro-MD"/>
              </w:rPr>
              <w:t>ă. Pe măsură ce cererea de vehicule cu emisii reduse cre</w:t>
            </w:r>
            <w:r w:rsidR="00D84F0C" w:rsidRPr="00DD57E3">
              <w:rPr>
                <w:rFonts w:cs="Times New Roman"/>
                <w:bCs/>
                <w:iCs/>
                <w:szCs w:val="24"/>
                <w:lang w:val="ro-MD"/>
              </w:rPr>
              <w:t>ș</w:t>
            </w:r>
            <w:r w:rsidRPr="00DD57E3">
              <w:rPr>
                <w:rFonts w:cs="Times New Roman"/>
                <w:bCs/>
                <w:iCs/>
                <w:szCs w:val="24"/>
                <w:lang w:val="ro-MD"/>
              </w:rPr>
              <w:t>te, furnizorii de vehicule ar putea să î</w:t>
            </w:r>
            <w:r w:rsidR="00D84F0C" w:rsidRPr="00DD57E3">
              <w:rPr>
                <w:rFonts w:cs="Times New Roman"/>
                <w:bCs/>
                <w:iCs/>
                <w:szCs w:val="24"/>
                <w:lang w:val="ro-MD"/>
              </w:rPr>
              <w:t>ș</w:t>
            </w:r>
            <w:r w:rsidRPr="00DD57E3">
              <w:rPr>
                <w:rFonts w:cs="Times New Roman"/>
                <w:bCs/>
                <w:iCs/>
                <w:szCs w:val="24"/>
                <w:lang w:val="ro-MD"/>
              </w:rPr>
              <w:t>i adapteze ofertele pentru a răspunde nevoilor locale, oferind solu</w:t>
            </w:r>
            <w:r w:rsidR="00D84F0C" w:rsidRPr="00DD57E3">
              <w:rPr>
                <w:rFonts w:cs="Times New Roman"/>
                <w:bCs/>
                <w:iCs/>
                <w:szCs w:val="24"/>
                <w:lang w:val="ro-MD"/>
              </w:rPr>
              <w:t>ț</w:t>
            </w:r>
            <w:r w:rsidRPr="00DD57E3">
              <w:rPr>
                <w:rFonts w:cs="Times New Roman"/>
                <w:bCs/>
                <w:iCs/>
                <w:szCs w:val="24"/>
                <w:lang w:val="ro-MD"/>
              </w:rPr>
              <w:t>ii personalizate care să corespundă cerin</w:t>
            </w:r>
            <w:r w:rsidR="00D84F0C" w:rsidRPr="00DD57E3">
              <w:rPr>
                <w:rFonts w:cs="Times New Roman"/>
                <w:bCs/>
                <w:iCs/>
                <w:szCs w:val="24"/>
                <w:lang w:val="ro-MD"/>
              </w:rPr>
              <w:t>ț</w:t>
            </w:r>
            <w:r w:rsidRPr="00DD57E3">
              <w:rPr>
                <w:rFonts w:cs="Times New Roman"/>
                <w:bCs/>
                <w:iCs/>
                <w:szCs w:val="24"/>
                <w:lang w:val="ro-MD"/>
              </w:rPr>
              <w:t xml:space="preserve">elor operatorilor de transport </w:t>
            </w:r>
            <w:r w:rsidR="005F5152" w:rsidRPr="00DD57E3">
              <w:rPr>
                <w:rFonts w:cs="Times New Roman"/>
                <w:bCs/>
                <w:iCs/>
                <w:szCs w:val="24"/>
                <w:lang w:val="ro-MD"/>
              </w:rPr>
              <w:t>na</w:t>
            </w:r>
            <w:r w:rsidR="00D84F0C" w:rsidRPr="00DD57E3">
              <w:rPr>
                <w:rFonts w:cs="Times New Roman"/>
                <w:bCs/>
                <w:iCs/>
                <w:szCs w:val="24"/>
                <w:lang w:val="ro-MD"/>
              </w:rPr>
              <w:t>ț</w:t>
            </w:r>
            <w:r w:rsidR="005F5152" w:rsidRPr="00DD57E3">
              <w:rPr>
                <w:rFonts w:cs="Times New Roman"/>
                <w:bCs/>
                <w:iCs/>
                <w:szCs w:val="24"/>
                <w:lang w:val="ro-MD"/>
              </w:rPr>
              <w:t>ionali</w:t>
            </w:r>
            <w:r w:rsidRPr="00DD57E3">
              <w:rPr>
                <w:rFonts w:cs="Times New Roman"/>
                <w:bCs/>
                <w:iCs/>
                <w:szCs w:val="24"/>
                <w:lang w:val="ro-MD"/>
              </w:rPr>
              <w:t>.</w:t>
            </w:r>
          </w:p>
          <w:p w14:paraId="74FC8AAC" w14:textId="31C4F1E1" w:rsidR="00045790" w:rsidRPr="00DD57E3" w:rsidRDefault="00045790"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Impactul lipsei producătorilor interni: Lipsa producătorilor autohtoni va duce la o dependen</w:t>
            </w:r>
            <w:r w:rsidR="00D84F0C" w:rsidRPr="00DD57E3">
              <w:rPr>
                <w:rFonts w:cs="Times New Roman"/>
                <w:bCs/>
                <w:iCs/>
                <w:szCs w:val="24"/>
                <w:lang w:val="ro-MD"/>
              </w:rPr>
              <w:t>ț</w:t>
            </w:r>
            <w:r w:rsidRPr="00DD57E3">
              <w:rPr>
                <w:rFonts w:cs="Times New Roman"/>
                <w:bCs/>
                <w:iCs/>
                <w:szCs w:val="24"/>
                <w:lang w:val="ro-MD"/>
              </w:rPr>
              <w:t>ă de importuri. Acest lucru ar putea cre</w:t>
            </w:r>
            <w:r w:rsidR="00D84F0C" w:rsidRPr="00DD57E3">
              <w:rPr>
                <w:rFonts w:cs="Times New Roman"/>
                <w:bCs/>
                <w:iCs/>
                <w:szCs w:val="24"/>
                <w:lang w:val="ro-MD"/>
              </w:rPr>
              <w:t>ș</w:t>
            </w:r>
            <w:r w:rsidRPr="00DD57E3">
              <w:rPr>
                <w:rFonts w:cs="Times New Roman"/>
                <w:bCs/>
                <w:iCs/>
                <w:szCs w:val="24"/>
                <w:lang w:val="ro-MD"/>
              </w:rPr>
              <w:t>te costul vehiculelor, în special dacă se aplică tarife sau taxe de import. În plus, dependen</w:t>
            </w:r>
            <w:r w:rsidR="00D84F0C" w:rsidRPr="00DD57E3">
              <w:rPr>
                <w:rFonts w:cs="Times New Roman"/>
                <w:bCs/>
                <w:iCs/>
                <w:szCs w:val="24"/>
                <w:lang w:val="ro-MD"/>
              </w:rPr>
              <w:t>ț</w:t>
            </w:r>
            <w:r w:rsidRPr="00DD57E3">
              <w:rPr>
                <w:rFonts w:cs="Times New Roman"/>
                <w:bCs/>
                <w:iCs/>
                <w:szCs w:val="24"/>
                <w:lang w:val="ro-MD"/>
              </w:rPr>
              <w:t xml:space="preserve">a </w:t>
            </w:r>
            <w:r w:rsidR="00330BBE" w:rsidRPr="00DD57E3">
              <w:rPr>
                <w:rFonts w:cs="Times New Roman"/>
                <w:bCs/>
                <w:iCs/>
                <w:szCs w:val="24"/>
                <w:lang w:val="ro-MD"/>
              </w:rPr>
              <w:t xml:space="preserve">Republicii </w:t>
            </w:r>
            <w:r w:rsidRPr="00DD57E3">
              <w:rPr>
                <w:rFonts w:cs="Times New Roman"/>
                <w:bCs/>
                <w:iCs/>
                <w:szCs w:val="24"/>
                <w:lang w:val="ro-MD"/>
              </w:rPr>
              <w:t>Moldov</w:t>
            </w:r>
            <w:r w:rsidR="00330BBE" w:rsidRPr="00DD57E3">
              <w:rPr>
                <w:rFonts w:cs="Times New Roman"/>
                <w:bCs/>
                <w:iCs/>
                <w:szCs w:val="24"/>
                <w:lang w:val="ro-MD"/>
              </w:rPr>
              <w:t>a</w:t>
            </w:r>
            <w:r w:rsidRPr="00DD57E3">
              <w:rPr>
                <w:rFonts w:cs="Times New Roman"/>
                <w:bCs/>
                <w:iCs/>
                <w:szCs w:val="24"/>
                <w:lang w:val="ro-MD"/>
              </w:rPr>
              <w:t xml:space="preserve"> de furnizorii externi poate crea vulnerabilită</w:t>
            </w:r>
            <w:r w:rsidR="00D84F0C" w:rsidRPr="00DD57E3">
              <w:rPr>
                <w:rFonts w:cs="Times New Roman"/>
                <w:bCs/>
                <w:iCs/>
                <w:szCs w:val="24"/>
                <w:lang w:val="ro-MD"/>
              </w:rPr>
              <w:t>ț</w:t>
            </w:r>
            <w:r w:rsidRPr="00DD57E3">
              <w:rPr>
                <w:rFonts w:cs="Times New Roman"/>
                <w:bCs/>
                <w:iCs/>
                <w:szCs w:val="24"/>
                <w:lang w:val="ro-MD"/>
              </w:rPr>
              <w:t>i ale lan</w:t>
            </w:r>
            <w:r w:rsidR="00D84F0C" w:rsidRPr="00DD57E3">
              <w:rPr>
                <w:rFonts w:cs="Times New Roman"/>
                <w:bCs/>
                <w:iCs/>
                <w:szCs w:val="24"/>
                <w:lang w:val="ro-MD"/>
              </w:rPr>
              <w:t>ț</w:t>
            </w:r>
            <w:r w:rsidRPr="00DD57E3">
              <w:rPr>
                <w:rFonts w:cs="Times New Roman"/>
                <w:bCs/>
                <w:iCs/>
                <w:szCs w:val="24"/>
                <w:lang w:val="ro-MD"/>
              </w:rPr>
              <w:t>ului de aprovizionare, în special dacă cererea de vehicule cu emisii reduse depă</w:t>
            </w:r>
            <w:r w:rsidR="00D84F0C" w:rsidRPr="00DD57E3">
              <w:rPr>
                <w:rFonts w:cs="Times New Roman"/>
                <w:bCs/>
                <w:iCs/>
                <w:szCs w:val="24"/>
                <w:lang w:val="ro-MD"/>
              </w:rPr>
              <w:t>ș</w:t>
            </w:r>
            <w:r w:rsidRPr="00DD57E3">
              <w:rPr>
                <w:rFonts w:cs="Times New Roman"/>
                <w:bCs/>
                <w:iCs/>
                <w:szCs w:val="24"/>
                <w:lang w:val="ro-MD"/>
              </w:rPr>
              <w:t>e</w:t>
            </w:r>
            <w:r w:rsidR="00D84F0C" w:rsidRPr="00DD57E3">
              <w:rPr>
                <w:rFonts w:cs="Times New Roman"/>
                <w:bCs/>
                <w:iCs/>
                <w:szCs w:val="24"/>
                <w:lang w:val="ro-MD"/>
              </w:rPr>
              <w:t>ș</w:t>
            </w:r>
            <w:r w:rsidRPr="00DD57E3">
              <w:rPr>
                <w:rFonts w:cs="Times New Roman"/>
                <w:bCs/>
                <w:iCs/>
                <w:szCs w:val="24"/>
                <w:lang w:val="ro-MD"/>
              </w:rPr>
              <w:t>te capacitatea producătorilor de a o satisface. Furnizorii locali, cum ar fi cei responsabili de componentele vehiculelor sau de serviciile de între</w:t>
            </w:r>
            <w:r w:rsidR="00D84F0C" w:rsidRPr="00DD57E3">
              <w:rPr>
                <w:rFonts w:cs="Times New Roman"/>
                <w:bCs/>
                <w:iCs/>
                <w:szCs w:val="24"/>
                <w:lang w:val="ro-MD"/>
              </w:rPr>
              <w:t>ț</w:t>
            </w:r>
            <w:r w:rsidRPr="00DD57E3">
              <w:rPr>
                <w:rFonts w:cs="Times New Roman"/>
                <w:bCs/>
                <w:iCs/>
                <w:szCs w:val="24"/>
                <w:lang w:val="ro-MD"/>
              </w:rPr>
              <w:t>inere, pot, de asemenea, să vadă oportunită</w:t>
            </w:r>
            <w:r w:rsidR="00D84F0C" w:rsidRPr="00DD57E3">
              <w:rPr>
                <w:rFonts w:cs="Times New Roman"/>
                <w:bCs/>
                <w:iCs/>
                <w:szCs w:val="24"/>
                <w:lang w:val="ro-MD"/>
              </w:rPr>
              <w:t>ț</w:t>
            </w:r>
            <w:r w:rsidRPr="00DD57E3">
              <w:rPr>
                <w:rFonts w:cs="Times New Roman"/>
                <w:bCs/>
                <w:iCs/>
                <w:szCs w:val="24"/>
                <w:lang w:val="ro-MD"/>
              </w:rPr>
              <w:t>i pentru noi afaceri pe măsură ce cre</w:t>
            </w:r>
            <w:r w:rsidR="00D84F0C" w:rsidRPr="00DD57E3">
              <w:rPr>
                <w:rFonts w:cs="Times New Roman"/>
                <w:bCs/>
                <w:iCs/>
                <w:szCs w:val="24"/>
                <w:lang w:val="ro-MD"/>
              </w:rPr>
              <w:t>ș</w:t>
            </w:r>
            <w:r w:rsidRPr="00DD57E3">
              <w:rPr>
                <w:rFonts w:cs="Times New Roman"/>
                <w:bCs/>
                <w:iCs/>
                <w:szCs w:val="24"/>
                <w:lang w:val="ro-MD"/>
              </w:rPr>
              <w:t>te cererea de vehicule electrice sau pe bază de hidrogen.</w:t>
            </w:r>
          </w:p>
          <w:p w14:paraId="0EEE675F" w14:textId="3C434624" w:rsidR="00045790" w:rsidRPr="00DD57E3" w:rsidRDefault="00045790"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Cre</w:t>
            </w:r>
            <w:r w:rsidR="00D84F0C" w:rsidRPr="00DD57E3">
              <w:rPr>
                <w:rFonts w:cs="Times New Roman"/>
                <w:bCs/>
                <w:iCs/>
                <w:szCs w:val="24"/>
                <w:lang w:val="ro-MD"/>
              </w:rPr>
              <w:t>ș</w:t>
            </w:r>
            <w:r w:rsidRPr="00DD57E3">
              <w:rPr>
                <w:rFonts w:cs="Times New Roman"/>
                <w:bCs/>
                <w:iCs/>
                <w:szCs w:val="24"/>
                <w:lang w:val="ro-MD"/>
              </w:rPr>
              <w:t>terea cererii de sta</w:t>
            </w:r>
            <w:r w:rsidR="00D84F0C" w:rsidRPr="00DD57E3">
              <w:rPr>
                <w:rFonts w:cs="Times New Roman"/>
                <w:bCs/>
                <w:iCs/>
                <w:szCs w:val="24"/>
                <w:lang w:val="ro-MD"/>
              </w:rPr>
              <w:t>ț</w:t>
            </w:r>
            <w:r w:rsidRPr="00DD57E3">
              <w:rPr>
                <w:rFonts w:cs="Times New Roman"/>
                <w:bCs/>
                <w:iCs/>
                <w:szCs w:val="24"/>
                <w:lang w:val="ro-MD"/>
              </w:rPr>
              <w:t xml:space="preserve">ii de încărcare </w:t>
            </w:r>
            <w:r w:rsidR="00D84F0C" w:rsidRPr="00DD57E3">
              <w:rPr>
                <w:rFonts w:cs="Times New Roman"/>
                <w:bCs/>
                <w:iCs/>
                <w:szCs w:val="24"/>
                <w:lang w:val="ro-MD"/>
              </w:rPr>
              <w:t>ș</w:t>
            </w:r>
            <w:r w:rsidRPr="00DD57E3">
              <w:rPr>
                <w:rFonts w:cs="Times New Roman"/>
                <w:bCs/>
                <w:iCs/>
                <w:szCs w:val="24"/>
                <w:lang w:val="ro-MD"/>
              </w:rPr>
              <w:t>i realimentare: Cererea de sta</w:t>
            </w:r>
            <w:r w:rsidR="00D84F0C" w:rsidRPr="00DD57E3">
              <w:rPr>
                <w:rFonts w:cs="Times New Roman"/>
                <w:bCs/>
                <w:iCs/>
                <w:szCs w:val="24"/>
                <w:lang w:val="ro-MD"/>
              </w:rPr>
              <w:t>ț</w:t>
            </w:r>
            <w:r w:rsidRPr="00DD57E3">
              <w:rPr>
                <w:rFonts w:cs="Times New Roman"/>
                <w:bCs/>
                <w:iCs/>
                <w:szCs w:val="24"/>
                <w:lang w:val="ro-MD"/>
              </w:rPr>
              <w:t xml:space="preserve">ii de încărcare pentru autobuzele electrice </w:t>
            </w:r>
            <w:r w:rsidR="00D84F0C" w:rsidRPr="00DD57E3">
              <w:rPr>
                <w:rFonts w:cs="Times New Roman"/>
                <w:bCs/>
                <w:iCs/>
                <w:szCs w:val="24"/>
                <w:lang w:val="ro-MD"/>
              </w:rPr>
              <w:t>ș</w:t>
            </w:r>
            <w:r w:rsidRPr="00DD57E3">
              <w:rPr>
                <w:rFonts w:cs="Times New Roman"/>
                <w:bCs/>
                <w:iCs/>
                <w:szCs w:val="24"/>
                <w:lang w:val="ro-MD"/>
              </w:rPr>
              <w:t>i de sta</w:t>
            </w:r>
            <w:r w:rsidR="00D84F0C" w:rsidRPr="00DD57E3">
              <w:rPr>
                <w:rFonts w:cs="Times New Roman"/>
                <w:bCs/>
                <w:iCs/>
                <w:szCs w:val="24"/>
                <w:lang w:val="ro-MD"/>
              </w:rPr>
              <w:t>ț</w:t>
            </w:r>
            <w:r w:rsidRPr="00DD57E3">
              <w:rPr>
                <w:rFonts w:cs="Times New Roman"/>
                <w:bCs/>
                <w:iCs/>
                <w:szCs w:val="24"/>
                <w:lang w:val="ro-MD"/>
              </w:rPr>
              <w:t>ii de realimentare pentru vehiculele alimentate cu hidrogen va cre</w:t>
            </w:r>
            <w:r w:rsidR="00D84F0C" w:rsidRPr="00DD57E3">
              <w:rPr>
                <w:rFonts w:cs="Times New Roman"/>
                <w:bCs/>
                <w:iCs/>
                <w:szCs w:val="24"/>
                <w:lang w:val="ro-MD"/>
              </w:rPr>
              <w:t>ș</w:t>
            </w:r>
            <w:r w:rsidRPr="00DD57E3">
              <w:rPr>
                <w:rFonts w:cs="Times New Roman"/>
                <w:bCs/>
                <w:iCs/>
                <w:szCs w:val="24"/>
                <w:lang w:val="ro-MD"/>
              </w:rPr>
              <w:t>te pe măsură ce operatorii de transport încep să adopte vehicule nepoluante. Acest lucru ar putea stimula cre</w:t>
            </w:r>
            <w:r w:rsidR="00D84F0C" w:rsidRPr="00DD57E3">
              <w:rPr>
                <w:rFonts w:cs="Times New Roman"/>
                <w:bCs/>
                <w:iCs/>
                <w:szCs w:val="24"/>
                <w:lang w:val="ro-MD"/>
              </w:rPr>
              <w:t>ș</w:t>
            </w:r>
            <w:r w:rsidRPr="00DD57E3">
              <w:rPr>
                <w:rFonts w:cs="Times New Roman"/>
                <w:bCs/>
                <w:iCs/>
                <w:szCs w:val="24"/>
                <w:lang w:val="ro-MD"/>
              </w:rPr>
              <w:t>terea companiilor care furnizează aceste servicii, ceea ce ar duce la noi oportunită</w:t>
            </w:r>
            <w:r w:rsidR="00D84F0C" w:rsidRPr="00DD57E3">
              <w:rPr>
                <w:rFonts w:cs="Times New Roman"/>
                <w:bCs/>
                <w:iCs/>
                <w:szCs w:val="24"/>
                <w:lang w:val="ro-MD"/>
              </w:rPr>
              <w:t>ț</w:t>
            </w:r>
            <w:r w:rsidRPr="00DD57E3">
              <w:rPr>
                <w:rFonts w:cs="Times New Roman"/>
                <w:bCs/>
                <w:iCs/>
                <w:szCs w:val="24"/>
                <w:lang w:val="ro-MD"/>
              </w:rPr>
              <w:t>i de afaceri pentru furnizorii de infrastructură.</w:t>
            </w:r>
          </w:p>
          <w:p w14:paraId="6B007044" w14:textId="51BD8043" w:rsidR="00045790" w:rsidRPr="00DD57E3" w:rsidRDefault="00045790"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Presiunea concuren</w:t>
            </w:r>
            <w:r w:rsidR="00D84F0C" w:rsidRPr="00DD57E3">
              <w:rPr>
                <w:rFonts w:cs="Times New Roman"/>
                <w:bCs/>
                <w:iCs/>
                <w:szCs w:val="24"/>
                <w:lang w:val="ro-MD"/>
              </w:rPr>
              <w:t>ț</w:t>
            </w:r>
            <w:r w:rsidRPr="00DD57E3">
              <w:rPr>
                <w:rFonts w:cs="Times New Roman"/>
                <w:bCs/>
                <w:iCs/>
                <w:szCs w:val="24"/>
                <w:lang w:val="ro-MD"/>
              </w:rPr>
              <w:t xml:space="preserve">ială: Necesitatea unei infrastructuri fiabile </w:t>
            </w:r>
            <w:r w:rsidR="00D84F0C" w:rsidRPr="00DD57E3">
              <w:rPr>
                <w:rFonts w:cs="Times New Roman"/>
                <w:bCs/>
                <w:iCs/>
                <w:szCs w:val="24"/>
                <w:lang w:val="ro-MD"/>
              </w:rPr>
              <w:t>ș</w:t>
            </w:r>
            <w:r w:rsidRPr="00DD57E3">
              <w:rPr>
                <w:rFonts w:cs="Times New Roman"/>
                <w:bCs/>
                <w:iCs/>
                <w:szCs w:val="24"/>
                <w:lang w:val="ro-MD"/>
              </w:rPr>
              <w:t>i răspândite poate duce la cre</w:t>
            </w:r>
            <w:r w:rsidR="00D84F0C" w:rsidRPr="00DD57E3">
              <w:rPr>
                <w:rFonts w:cs="Times New Roman"/>
                <w:bCs/>
                <w:iCs/>
                <w:szCs w:val="24"/>
                <w:lang w:val="ro-MD"/>
              </w:rPr>
              <w:t>ș</w:t>
            </w:r>
            <w:r w:rsidRPr="00DD57E3">
              <w:rPr>
                <w:rFonts w:cs="Times New Roman"/>
                <w:bCs/>
                <w:iCs/>
                <w:szCs w:val="24"/>
                <w:lang w:val="ro-MD"/>
              </w:rPr>
              <w:t>terea concuren</w:t>
            </w:r>
            <w:r w:rsidR="00D84F0C" w:rsidRPr="00DD57E3">
              <w:rPr>
                <w:rFonts w:cs="Times New Roman"/>
                <w:bCs/>
                <w:iCs/>
                <w:szCs w:val="24"/>
                <w:lang w:val="ro-MD"/>
              </w:rPr>
              <w:t>ț</w:t>
            </w:r>
            <w:r w:rsidRPr="00DD57E3">
              <w:rPr>
                <w:rFonts w:cs="Times New Roman"/>
                <w:bCs/>
                <w:iCs/>
                <w:szCs w:val="24"/>
                <w:lang w:val="ro-MD"/>
              </w:rPr>
              <w:t>ei între furnizorii de infrastructură. Acest lucru ar putea crea, de asemenea, o pia</w:t>
            </w:r>
            <w:r w:rsidR="00D84F0C" w:rsidRPr="00DD57E3">
              <w:rPr>
                <w:rFonts w:cs="Times New Roman"/>
                <w:bCs/>
                <w:iCs/>
                <w:szCs w:val="24"/>
                <w:lang w:val="ro-MD"/>
              </w:rPr>
              <w:t>ț</w:t>
            </w:r>
            <w:r w:rsidRPr="00DD57E3">
              <w:rPr>
                <w:rFonts w:cs="Times New Roman"/>
                <w:bCs/>
                <w:iCs/>
                <w:szCs w:val="24"/>
                <w:lang w:val="ro-MD"/>
              </w:rPr>
              <w:t>ă pentru companiile care oferă tehnologii avansate, cum ar fi sta</w:t>
            </w:r>
            <w:r w:rsidR="00D84F0C" w:rsidRPr="00DD57E3">
              <w:rPr>
                <w:rFonts w:cs="Times New Roman"/>
                <w:bCs/>
                <w:iCs/>
                <w:szCs w:val="24"/>
                <w:lang w:val="ro-MD"/>
              </w:rPr>
              <w:t>ț</w:t>
            </w:r>
            <w:r w:rsidRPr="00DD57E3">
              <w:rPr>
                <w:rFonts w:cs="Times New Roman"/>
                <w:bCs/>
                <w:iCs/>
                <w:szCs w:val="24"/>
                <w:lang w:val="ro-MD"/>
              </w:rPr>
              <w:t xml:space="preserve">iile de încărcare ultrarapidă, ceea ce ar putea schimba </w:t>
            </w:r>
            <w:r w:rsidR="00D84F0C" w:rsidRPr="00DD57E3">
              <w:rPr>
                <w:rFonts w:cs="Times New Roman"/>
                <w:bCs/>
                <w:iCs/>
                <w:szCs w:val="24"/>
                <w:lang w:val="ro-MD"/>
              </w:rPr>
              <w:t>ș</w:t>
            </w:r>
            <w:r w:rsidRPr="00DD57E3">
              <w:rPr>
                <w:rFonts w:cs="Times New Roman"/>
                <w:bCs/>
                <w:iCs/>
                <w:szCs w:val="24"/>
                <w:lang w:val="ro-MD"/>
              </w:rPr>
              <w:t>i mai mult dinamica concuren</w:t>
            </w:r>
            <w:r w:rsidR="00D84F0C" w:rsidRPr="00DD57E3">
              <w:rPr>
                <w:rFonts w:cs="Times New Roman"/>
                <w:bCs/>
                <w:iCs/>
                <w:szCs w:val="24"/>
                <w:lang w:val="ro-MD"/>
              </w:rPr>
              <w:t>ț</w:t>
            </w:r>
            <w:r w:rsidRPr="00DD57E3">
              <w:rPr>
                <w:rFonts w:cs="Times New Roman"/>
                <w:bCs/>
                <w:iCs/>
                <w:szCs w:val="24"/>
                <w:lang w:val="ro-MD"/>
              </w:rPr>
              <w:t>ei în sector.</w:t>
            </w:r>
          </w:p>
          <w:p w14:paraId="0ADFC8DB" w14:textId="54161972" w:rsidR="00045790" w:rsidRPr="00DD57E3" w:rsidRDefault="00045790"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Profitabilitatea pe termen lung: Tranzi</w:t>
            </w:r>
            <w:r w:rsidR="00D84F0C" w:rsidRPr="00DD57E3">
              <w:rPr>
                <w:rFonts w:cs="Times New Roman"/>
                <w:bCs/>
                <w:iCs/>
                <w:szCs w:val="24"/>
                <w:lang w:val="ro-MD"/>
              </w:rPr>
              <w:t>ț</w:t>
            </w:r>
            <w:r w:rsidRPr="00DD57E3">
              <w:rPr>
                <w:rFonts w:cs="Times New Roman"/>
                <w:bCs/>
                <w:iCs/>
                <w:szCs w:val="24"/>
                <w:lang w:val="ro-MD"/>
              </w:rPr>
              <w:t>ia către vehicule cu emisii reduse ar putea conduce la profitabilitate pe termen lung pentru furnizorii de infrastructură, în special dacă autorită</w:t>
            </w:r>
            <w:r w:rsidR="00D84F0C" w:rsidRPr="00DD57E3">
              <w:rPr>
                <w:rFonts w:cs="Times New Roman"/>
                <w:bCs/>
                <w:iCs/>
                <w:szCs w:val="24"/>
                <w:lang w:val="ro-MD"/>
              </w:rPr>
              <w:t>ț</w:t>
            </w:r>
            <w:r w:rsidRPr="00DD57E3">
              <w:rPr>
                <w:rFonts w:cs="Times New Roman"/>
                <w:bCs/>
                <w:iCs/>
                <w:szCs w:val="24"/>
                <w:lang w:val="ro-MD"/>
              </w:rPr>
              <w:t>ile publice oferă stimulente sau subven</w:t>
            </w:r>
            <w:r w:rsidR="00D84F0C" w:rsidRPr="00DD57E3">
              <w:rPr>
                <w:rFonts w:cs="Times New Roman"/>
                <w:bCs/>
                <w:iCs/>
                <w:szCs w:val="24"/>
                <w:lang w:val="ro-MD"/>
              </w:rPr>
              <w:t>ț</w:t>
            </w:r>
            <w:r w:rsidRPr="00DD57E3">
              <w:rPr>
                <w:rFonts w:cs="Times New Roman"/>
                <w:bCs/>
                <w:iCs/>
                <w:szCs w:val="24"/>
                <w:lang w:val="ro-MD"/>
              </w:rPr>
              <w:t>ii pentru a sprijini dezvoltarea infrastructurii.</w:t>
            </w:r>
          </w:p>
          <w:p w14:paraId="1C82D711" w14:textId="2E5FF895" w:rsidR="00045790" w:rsidRPr="00DD57E3" w:rsidRDefault="00045790" w:rsidP="005F5152">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Noi oportunită</w:t>
            </w:r>
            <w:r w:rsidR="00D84F0C" w:rsidRPr="00DD57E3">
              <w:rPr>
                <w:rFonts w:cs="Times New Roman"/>
                <w:bCs/>
                <w:iCs/>
                <w:szCs w:val="24"/>
                <w:lang w:val="ro-MD"/>
              </w:rPr>
              <w:t>ț</w:t>
            </w:r>
            <w:r w:rsidRPr="00DD57E3">
              <w:rPr>
                <w:rFonts w:cs="Times New Roman"/>
                <w:bCs/>
                <w:iCs/>
                <w:szCs w:val="24"/>
                <w:lang w:val="ro-MD"/>
              </w:rPr>
              <w:t>i de investi</w:t>
            </w:r>
            <w:r w:rsidR="00D84F0C" w:rsidRPr="00DD57E3">
              <w:rPr>
                <w:rFonts w:cs="Times New Roman"/>
                <w:bCs/>
                <w:iCs/>
                <w:szCs w:val="24"/>
                <w:lang w:val="ro-MD"/>
              </w:rPr>
              <w:t>ț</w:t>
            </w:r>
            <w:r w:rsidRPr="00DD57E3">
              <w:rPr>
                <w:rFonts w:cs="Times New Roman"/>
                <w:bCs/>
                <w:iCs/>
                <w:szCs w:val="24"/>
                <w:lang w:val="ro-MD"/>
              </w:rPr>
              <w:t>ii: Firmele de investi</w:t>
            </w:r>
            <w:r w:rsidR="00D84F0C" w:rsidRPr="00DD57E3">
              <w:rPr>
                <w:rFonts w:cs="Times New Roman"/>
                <w:bCs/>
                <w:iCs/>
                <w:szCs w:val="24"/>
                <w:lang w:val="ro-MD"/>
              </w:rPr>
              <w:t>ț</w:t>
            </w:r>
            <w:r w:rsidRPr="00DD57E3">
              <w:rPr>
                <w:rFonts w:cs="Times New Roman"/>
                <w:bCs/>
                <w:iCs/>
                <w:szCs w:val="24"/>
                <w:lang w:val="ro-MD"/>
              </w:rPr>
              <w:t>ii pot vedea oportunitatea de a crea noi fonduri axate pe proiecte de transport ecologice. Acestea ar putea include investi</w:t>
            </w:r>
            <w:r w:rsidR="00D84F0C" w:rsidRPr="00DD57E3">
              <w:rPr>
                <w:rFonts w:cs="Times New Roman"/>
                <w:bCs/>
                <w:iCs/>
                <w:szCs w:val="24"/>
                <w:lang w:val="ro-MD"/>
              </w:rPr>
              <w:t>ț</w:t>
            </w:r>
            <w:r w:rsidRPr="00DD57E3">
              <w:rPr>
                <w:rFonts w:cs="Times New Roman"/>
                <w:bCs/>
                <w:iCs/>
                <w:szCs w:val="24"/>
                <w:lang w:val="ro-MD"/>
              </w:rPr>
              <w:t xml:space="preserve">ii în autobuze electrice sau în proiecte de infrastructură pe bază de hidrogen în </w:t>
            </w:r>
            <w:r w:rsidR="00C071B9" w:rsidRPr="00DD57E3">
              <w:rPr>
                <w:rFonts w:cs="Times New Roman"/>
                <w:bCs/>
                <w:iCs/>
                <w:szCs w:val="24"/>
                <w:lang w:val="ro-MD"/>
              </w:rPr>
              <w:t xml:space="preserve">Republica </w:t>
            </w:r>
            <w:r w:rsidRPr="00DD57E3">
              <w:rPr>
                <w:rFonts w:cs="Times New Roman"/>
                <w:bCs/>
                <w:iCs/>
                <w:szCs w:val="24"/>
                <w:lang w:val="ro-MD"/>
              </w:rPr>
              <w:t>Moldova. Fondurile interna</w:t>
            </w:r>
            <w:r w:rsidR="00D84F0C" w:rsidRPr="00DD57E3">
              <w:rPr>
                <w:rFonts w:cs="Times New Roman"/>
                <w:bCs/>
                <w:iCs/>
                <w:szCs w:val="24"/>
                <w:lang w:val="ro-MD"/>
              </w:rPr>
              <w:t>ț</w:t>
            </w:r>
            <w:r w:rsidRPr="00DD57E3">
              <w:rPr>
                <w:rFonts w:cs="Times New Roman"/>
                <w:bCs/>
                <w:iCs/>
                <w:szCs w:val="24"/>
                <w:lang w:val="ro-MD"/>
              </w:rPr>
              <w:t>ionale de investi</w:t>
            </w:r>
            <w:r w:rsidR="00D84F0C" w:rsidRPr="00DD57E3">
              <w:rPr>
                <w:rFonts w:cs="Times New Roman"/>
                <w:bCs/>
                <w:iCs/>
                <w:szCs w:val="24"/>
                <w:lang w:val="ro-MD"/>
              </w:rPr>
              <w:t>ț</w:t>
            </w:r>
            <w:r w:rsidRPr="00DD57E3">
              <w:rPr>
                <w:rFonts w:cs="Times New Roman"/>
                <w:bCs/>
                <w:iCs/>
                <w:szCs w:val="24"/>
                <w:lang w:val="ro-MD"/>
              </w:rPr>
              <w:t>ii ecologice ar putea fi, de asemenea, atrase de această pia</w:t>
            </w:r>
            <w:r w:rsidR="00D84F0C" w:rsidRPr="00DD57E3">
              <w:rPr>
                <w:rFonts w:cs="Times New Roman"/>
                <w:bCs/>
                <w:iCs/>
                <w:szCs w:val="24"/>
                <w:lang w:val="ro-MD"/>
              </w:rPr>
              <w:t>ț</w:t>
            </w:r>
            <w:r w:rsidRPr="00DD57E3">
              <w:rPr>
                <w:rFonts w:cs="Times New Roman"/>
                <w:bCs/>
                <w:iCs/>
                <w:szCs w:val="24"/>
                <w:lang w:val="ro-MD"/>
              </w:rPr>
              <w:t>ă emergentă.</w:t>
            </w:r>
          </w:p>
          <w:p w14:paraId="174AFC45" w14:textId="71FB56A6" w:rsidR="004A1CD1" w:rsidRPr="00DD57E3" w:rsidRDefault="0008395C" w:rsidP="00124D23">
            <w:pPr>
              <w:pStyle w:val="a4"/>
              <w:numPr>
                <w:ilvl w:val="1"/>
                <w:numId w:val="13"/>
              </w:numPr>
              <w:tabs>
                <w:tab w:val="left" w:pos="990"/>
              </w:tabs>
              <w:spacing w:after="120" w:line="240" w:lineRule="auto"/>
              <w:jc w:val="both"/>
              <w:rPr>
                <w:rFonts w:cs="Times New Roman"/>
                <w:bCs/>
                <w:iCs/>
                <w:szCs w:val="24"/>
                <w:lang w:val="ro-MD"/>
              </w:rPr>
            </w:pPr>
            <w:r w:rsidRPr="00DD57E3">
              <w:rPr>
                <w:rFonts w:cs="Times New Roman"/>
                <w:bCs/>
                <w:iCs/>
                <w:szCs w:val="24"/>
                <w:lang w:val="ro-MD"/>
              </w:rPr>
              <w:t>Impactul agregatorilor de pia</w:t>
            </w:r>
            <w:r w:rsidR="00D84F0C" w:rsidRPr="00DD57E3">
              <w:rPr>
                <w:rFonts w:cs="Times New Roman"/>
                <w:bCs/>
                <w:iCs/>
                <w:szCs w:val="24"/>
                <w:lang w:val="ro-MD"/>
              </w:rPr>
              <w:t>ț</w:t>
            </w:r>
            <w:r w:rsidRPr="00DD57E3">
              <w:rPr>
                <w:rFonts w:cs="Times New Roman"/>
                <w:bCs/>
                <w:iCs/>
                <w:szCs w:val="24"/>
                <w:lang w:val="ro-MD"/>
              </w:rPr>
              <w:t>ă asupra institu</w:t>
            </w:r>
            <w:r w:rsidR="00D84F0C" w:rsidRPr="00DD57E3">
              <w:rPr>
                <w:rFonts w:cs="Times New Roman"/>
                <w:bCs/>
                <w:iCs/>
                <w:szCs w:val="24"/>
                <w:lang w:val="ro-MD"/>
              </w:rPr>
              <w:t>ț</w:t>
            </w:r>
            <w:r w:rsidRPr="00DD57E3">
              <w:rPr>
                <w:rFonts w:cs="Times New Roman"/>
                <w:bCs/>
                <w:iCs/>
                <w:szCs w:val="24"/>
                <w:lang w:val="ro-MD"/>
              </w:rPr>
              <w:t>iilor financiare: Odată cu introducerea agregatorilor de pia</w:t>
            </w:r>
            <w:r w:rsidR="00D84F0C" w:rsidRPr="00DD57E3">
              <w:rPr>
                <w:rFonts w:cs="Times New Roman"/>
                <w:bCs/>
                <w:iCs/>
                <w:szCs w:val="24"/>
                <w:lang w:val="ro-MD"/>
              </w:rPr>
              <w:t>ț</w:t>
            </w:r>
            <w:r w:rsidRPr="00DD57E3">
              <w:rPr>
                <w:rFonts w:cs="Times New Roman"/>
                <w:bCs/>
                <w:iCs/>
                <w:szCs w:val="24"/>
                <w:lang w:val="ro-MD"/>
              </w:rPr>
              <w:t>ă – fie ei publici sau priva</w:t>
            </w:r>
            <w:r w:rsidR="00D84F0C" w:rsidRPr="00DD57E3">
              <w:rPr>
                <w:rFonts w:cs="Times New Roman"/>
                <w:bCs/>
                <w:iCs/>
                <w:szCs w:val="24"/>
                <w:lang w:val="ro-MD"/>
              </w:rPr>
              <w:t>ț</w:t>
            </w:r>
            <w:r w:rsidRPr="00DD57E3">
              <w:rPr>
                <w:rFonts w:cs="Times New Roman"/>
                <w:bCs/>
                <w:iCs/>
                <w:szCs w:val="24"/>
                <w:lang w:val="ro-MD"/>
              </w:rPr>
              <w:t xml:space="preserve">i - în sectorul transporturilor din </w:t>
            </w:r>
            <w:r w:rsidR="00C071B9" w:rsidRPr="00DD57E3">
              <w:rPr>
                <w:rFonts w:cs="Times New Roman"/>
                <w:bCs/>
                <w:iCs/>
                <w:szCs w:val="24"/>
                <w:lang w:val="ro-MD"/>
              </w:rPr>
              <w:t xml:space="preserve">Republica </w:t>
            </w:r>
            <w:r w:rsidRPr="00DD57E3">
              <w:rPr>
                <w:rFonts w:cs="Times New Roman"/>
                <w:bCs/>
                <w:iCs/>
                <w:szCs w:val="24"/>
                <w:lang w:val="ro-MD"/>
              </w:rPr>
              <w:t>Moldova, rolul institu</w:t>
            </w:r>
            <w:r w:rsidR="00D84F0C" w:rsidRPr="00DD57E3">
              <w:rPr>
                <w:rFonts w:cs="Times New Roman"/>
                <w:bCs/>
                <w:iCs/>
                <w:szCs w:val="24"/>
                <w:lang w:val="ro-MD"/>
              </w:rPr>
              <w:t>ț</w:t>
            </w:r>
            <w:r w:rsidRPr="00DD57E3">
              <w:rPr>
                <w:rFonts w:cs="Times New Roman"/>
                <w:bCs/>
                <w:iCs/>
                <w:szCs w:val="24"/>
                <w:lang w:val="ro-MD"/>
              </w:rPr>
              <w:t>iilor financiare va fi influen</w:t>
            </w:r>
            <w:r w:rsidR="00D84F0C" w:rsidRPr="00DD57E3">
              <w:rPr>
                <w:rFonts w:cs="Times New Roman"/>
                <w:bCs/>
                <w:iCs/>
                <w:szCs w:val="24"/>
                <w:lang w:val="ro-MD"/>
              </w:rPr>
              <w:t>ț</w:t>
            </w:r>
            <w:r w:rsidRPr="00DD57E3">
              <w:rPr>
                <w:rFonts w:cs="Times New Roman"/>
                <w:bCs/>
                <w:iCs/>
                <w:szCs w:val="24"/>
                <w:lang w:val="ro-MD"/>
              </w:rPr>
              <w:t xml:space="preserve">at </w:t>
            </w:r>
            <w:r w:rsidR="00D84F0C" w:rsidRPr="00DD57E3">
              <w:rPr>
                <w:rFonts w:cs="Times New Roman"/>
                <w:bCs/>
                <w:iCs/>
                <w:szCs w:val="24"/>
                <w:lang w:val="ro-MD"/>
              </w:rPr>
              <w:t>ș</w:t>
            </w:r>
            <w:r w:rsidRPr="00DD57E3">
              <w:rPr>
                <w:rFonts w:cs="Times New Roman"/>
                <w:bCs/>
                <w:iCs/>
                <w:szCs w:val="24"/>
                <w:lang w:val="ro-MD"/>
              </w:rPr>
              <w:t>i mai mult. Agregatorii de pia</w:t>
            </w:r>
            <w:r w:rsidR="00D84F0C" w:rsidRPr="00DD57E3">
              <w:rPr>
                <w:rFonts w:cs="Times New Roman"/>
                <w:bCs/>
                <w:iCs/>
                <w:szCs w:val="24"/>
                <w:lang w:val="ro-MD"/>
              </w:rPr>
              <w:t>ț</w:t>
            </w:r>
            <w:r w:rsidRPr="00DD57E3">
              <w:rPr>
                <w:rFonts w:cs="Times New Roman"/>
                <w:bCs/>
                <w:iCs/>
                <w:szCs w:val="24"/>
                <w:lang w:val="ro-MD"/>
              </w:rPr>
              <w:t xml:space="preserve">ă, care ar consolida cererea de vehicule cu emisii reduse </w:t>
            </w:r>
            <w:r w:rsidR="00D84F0C" w:rsidRPr="00DD57E3">
              <w:rPr>
                <w:rFonts w:cs="Times New Roman"/>
                <w:bCs/>
                <w:iCs/>
                <w:szCs w:val="24"/>
                <w:lang w:val="ro-MD"/>
              </w:rPr>
              <w:t>ș</w:t>
            </w:r>
            <w:r w:rsidRPr="00DD57E3">
              <w:rPr>
                <w:rFonts w:cs="Times New Roman"/>
                <w:bCs/>
                <w:iCs/>
                <w:szCs w:val="24"/>
                <w:lang w:val="ro-MD"/>
              </w:rPr>
              <w:t>i de infrastructură din partea operatorilor de transport mai mici, vor remodela în mod semnificativ peisajul financiar pentru aceste păr</w:t>
            </w:r>
            <w:r w:rsidR="00D84F0C" w:rsidRPr="00DD57E3">
              <w:rPr>
                <w:rFonts w:cs="Times New Roman"/>
                <w:bCs/>
                <w:iCs/>
                <w:szCs w:val="24"/>
                <w:lang w:val="ro-MD"/>
              </w:rPr>
              <w:t>ț</w:t>
            </w:r>
            <w:r w:rsidRPr="00DD57E3">
              <w:rPr>
                <w:rFonts w:cs="Times New Roman"/>
                <w:bCs/>
                <w:iCs/>
                <w:szCs w:val="24"/>
                <w:lang w:val="ro-MD"/>
              </w:rPr>
              <w:t xml:space="preserve">i interesate. Unul dintre cele mai semnificative impacturi ale agregatorilor va fi capacitatea </w:t>
            </w:r>
            <w:r w:rsidRPr="00DD57E3">
              <w:rPr>
                <w:rFonts w:cs="Times New Roman"/>
                <w:bCs/>
                <w:iCs/>
                <w:szCs w:val="24"/>
                <w:lang w:val="ro-MD"/>
              </w:rPr>
              <w:lastRenderedPageBreak/>
              <w:t>operatorilor de transport mai mici, care de obicei au un acces financiar limitat sau o solvabilitate insuficientă, de a participa la tranzi</w:t>
            </w:r>
            <w:r w:rsidR="00D84F0C" w:rsidRPr="00DD57E3">
              <w:rPr>
                <w:rFonts w:cs="Times New Roman"/>
                <w:bCs/>
                <w:iCs/>
                <w:szCs w:val="24"/>
                <w:lang w:val="ro-MD"/>
              </w:rPr>
              <w:t>ț</w:t>
            </w:r>
            <w:r w:rsidRPr="00DD57E3">
              <w:rPr>
                <w:rFonts w:cs="Times New Roman"/>
                <w:bCs/>
                <w:iCs/>
                <w:szCs w:val="24"/>
                <w:lang w:val="ro-MD"/>
              </w:rPr>
              <w:t>ia către vehicule cu emisii reduse. Agregatorii vor ac</w:t>
            </w:r>
            <w:r w:rsidR="00D84F0C" w:rsidRPr="00DD57E3">
              <w:rPr>
                <w:rFonts w:cs="Times New Roman"/>
                <w:bCs/>
                <w:iCs/>
                <w:szCs w:val="24"/>
                <w:lang w:val="ro-MD"/>
              </w:rPr>
              <w:t>ț</w:t>
            </w:r>
            <w:r w:rsidRPr="00DD57E3">
              <w:rPr>
                <w:rFonts w:cs="Times New Roman"/>
                <w:bCs/>
                <w:iCs/>
                <w:szCs w:val="24"/>
                <w:lang w:val="ro-MD"/>
              </w:rPr>
              <w:t>iona ca intermediari, consolidând cererile de achizi</w:t>
            </w:r>
            <w:r w:rsidR="00D84F0C" w:rsidRPr="00DD57E3">
              <w:rPr>
                <w:rFonts w:cs="Times New Roman"/>
                <w:bCs/>
                <w:iCs/>
                <w:szCs w:val="24"/>
                <w:lang w:val="ro-MD"/>
              </w:rPr>
              <w:t>ț</w:t>
            </w:r>
            <w:r w:rsidRPr="00DD57E3">
              <w:rPr>
                <w:rFonts w:cs="Times New Roman"/>
                <w:bCs/>
                <w:iCs/>
                <w:szCs w:val="24"/>
                <w:lang w:val="ro-MD"/>
              </w:rPr>
              <w:t xml:space="preserve">ii </w:t>
            </w:r>
            <w:r w:rsidR="00D84F0C" w:rsidRPr="00DD57E3">
              <w:rPr>
                <w:rFonts w:cs="Times New Roman"/>
                <w:bCs/>
                <w:iCs/>
                <w:szCs w:val="24"/>
                <w:lang w:val="ro-MD"/>
              </w:rPr>
              <w:t>ș</w:t>
            </w:r>
            <w:r w:rsidRPr="00DD57E3">
              <w:rPr>
                <w:rFonts w:cs="Times New Roman"/>
                <w:bCs/>
                <w:iCs/>
                <w:szCs w:val="24"/>
                <w:lang w:val="ro-MD"/>
              </w:rPr>
              <w:t>i contribuind la asigurarea finan</w:t>
            </w:r>
            <w:r w:rsidR="00D84F0C" w:rsidRPr="00DD57E3">
              <w:rPr>
                <w:rFonts w:cs="Times New Roman"/>
                <w:bCs/>
                <w:iCs/>
                <w:szCs w:val="24"/>
                <w:lang w:val="ro-MD"/>
              </w:rPr>
              <w:t>ț</w:t>
            </w:r>
            <w:r w:rsidRPr="00DD57E3">
              <w:rPr>
                <w:rFonts w:cs="Times New Roman"/>
                <w:bCs/>
                <w:iCs/>
                <w:szCs w:val="24"/>
                <w:lang w:val="ro-MD"/>
              </w:rPr>
              <w:t>ării pentru întregul grup de operatori. Prin intermediul acestui model, institu</w:t>
            </w:r>
            <w:r w:rsidR="00D84F0C" w:rsidRPr="00DD57E3">
              <w:rPr>
                <w:rFonts w:cs="Times New Roman"/>
                <w:bCs/>
                <w:iCs/>
                <w:szCs w:val="24"/>
                <w:lang w:val="ro-MD"/>
              </w:rPr>
              <w:t>ț</w:t>
            </w:r>
            <w:r w:rsidRPr="00DD57E3">
              <w:rPr>
                <w:rFonts w:cs="Times New Roman"/>
                <w:bCs/>
                <w:iCs/>
                <w:szCs w:val="24"/>
                <w:lang w:val="ro-MD"/>
              </w:rPr>
              <w:t>iile financiare vor putea oferi produse de finan</w:t>
            </w:r>
            <w:r w:rsidR="00D84F0C" w:rsidRPr="00DD57E3">
              <w:rPr>
                <w:rFonts w:cs="Times New Roman"/>
                <w:bCs/>
                <w:iCs/>
                <w:szCs w:val="24"/>
                <w:lang w:val="ro-MD"/>
              </w:rPr>
              <w:t>ț</w:t>
            </w:r>
            <w:r w:rsidRPr="00DD57E3">
              <w:rPr>
                <w:rFonts w:cs="Times New Roman"/>
                <w:bCs/>
                <w:iCs/>
                <w:szCs w:val="24"/>
                <w:lang w:val="ro-MD"/>
              </w:rPr>
              <w:t>are agregatorilor, care vor distribui apoi fondurile sau vor asigura capitalul necesar pentru a achizi</w:t>
            </w:r>
            <w:r w:rsidR="00D84F0C" w:rsidRPr="00DD57E3">
              <w:rPr>
                <w:rFonts w:cs="Times New Roman"/>
                <w:bCs/>
                <w:iCs/>
                <w:szCs w:val="24"/>
                <w:lang w:val="ro-MD"/>
              </w:rPr>
              <w:t>ț</w:t>
            </w:r>
            <w:r w:rsidRPr="00DD57E3">
              <w:rPr>
                <w:rFonts w:cs="Times New Roman"/>
                <w:bCs/>
                <w:iCs/>
                <w:szCs w:val="24"/>
                <w:lang w:val="ro-MD"/>
              </w:rPr>
              <w:t>iona vehicule sau infrastructură în numele membrilor lor. Institu</w:t>
            </w:r>
            <w:r w:rsidR="00D84F0C" w:rsidRPr="00DD57E3">
              <w:rPr>
                <w:rFonts w:cs="Times New Roman"/>
                <w:bCs/>
                <w:iCs/>
                <w:szCs w:val="24"/>
                <w:lang w:val="ro-MD"/>
              </w:rPr>
              <w:t>ț</w:t>
            </w:r>
            <w:r w:rsidRPr="00DD57E3">
              <w:rPr>
                <w:rFonts w:cs="Times New Roman"/>
                <w:bCs/>
                <w:iCs/>
                <w:szCs w:val="24"/>
                <w:lang w:val="ro-MD"/>
              </w:rPr>
              <w:t xml:space="preserve">iile financiare pot fi îndemnate să dezvolte </w:t>
            </w:r>
            <w:r w:rsidR="00D84F0C" w:rsidRPr="00DD57E3">
              <w:rPr>
                <w:rFonts w:cs="Times New Roman"/>
                <w:bCs/>
                <w:iCs/>
                <w:szCs w:val="24"/>
                <w:lang w:val="ro-MD"/>
              </w:rPr>
              <w:t>ș</w:t>
            </w:r>
            <w:r w:rsidRPr="00DD57E3">
              <w:rPr>
                <w:rFonts w:cs="Times New Roman"/>
                <w:bCs/>
                <w:iCs/>
                <w:szCs w:val="24"/>
                <w:lang w:val="ro-MD"/>
              </w:rPr>
              <w:t>i să ofere noi structuri de finan</w:t>
            </w:r>
            <w:r w:rsidR="00D84F0C" w:rsidRPr="00DD57E3">
              <w:rPr>
                <w:rFonts w:cs="Times New Roman"/>
                <w:bCs/>
                <w:iCs/>
                <w:szCs w:val="24"/>
                <w:lang w:val="ro-MD"/>
              </w:rPr>
              <w:t>ț</w:t>
            </w:r>
            <w:r w:rsidRPr="00DD57E3">
              <w:rPr>
                <w:rFonts w:cs="Times New Roman"/>
                <w:bCs/>
                <w:iCs/>
                <w:szCs w:val="24"/>
                <w:lang w:val="ro-MD"/>
              </w:rPr>
              <w:t>are special concepute pentru agregatori. Prin colaborarea cu agregatorii, institu</w:t>
            </w:r>
            <w:r w:rsidR="00D84F0C" w:rsidRPr="00DD57E3">
              <w:rPr>
                <w:rFonts w:cs="Times New Roman"/>
                <w:bCs/>
                <w:iCs/>
                <w:szCs w:val="24"/>
                <w:lang w:val="ro-MD"/>
              </w:rPr>
              <w:t>ț</w:t>
            </w:r>
            <w:r w:rsidRPr="00DD57E3">
              <w:rPr>
                <w:rFonts w:cs="Times New Roman"/>
                <w:bCs/>
                <w:iCs/>
                <w:szCs w:val="24"/>
                <w:lang w:val="ro-MD"/>
              </w:rPr>
              <w:t>iile financiare pot beneficia de investi</w:t>
            </w:r>
            <w:r w:rsidR="00D84F0C" w:rsidRPr="00DD57E3">
              <w:rPr>
                <w:rFonts w:cs="Times New Roman"/>
                <w:bCs/>
                <w:iCs/>
                <w:szCs w:val="24"/>
                <w:lang w:val="ro-MD"/>
              </w:rPr>
              <w:t>ț</w:t>
            </w:r>
            <w:r w:rsidRPr="00DD57E3">
              <w:rPr>
                <w:rFonts w:cs="Times New Roman"/>
                <w:bCs/>
                <w:iCs/>
                <w:szCs w:val="24"/>
                <w:lang w:val="ro-MD"/>
              </w:rPr>
              <w:t xml:space="preserve">ii durabile pe termen lung în economia ecologică. Întrucât se preconizează că </w:t>
            </w:r>
            <w:r w:rsidR="00FB5E9C" w:rsidRPr="00DD57E3">
              <w:rPr>
                <w:rFonts w:cs="Times New Roman"/>
                <w:bCs/>
                <w:iCs/>
                <w:szCs w:val="24"/>
                <w:lang w:val="ro-MD"/>
              </w:rPr>
              <w:t xml:space="preserve">Directiva </w:t>
            </w:r>
            <w:r w:rsidRPr="00DD57E3">
              <w:rPr>
                <w:rFonts w:cs="Times New Roman"/>
                <w:bCs/>
                <w:iCs/>
                <w:szCs w:val="24"/>
                <w:lang w:val="ro-MD"/>
              </w:rPr>
              <w:t>va favoriza tranzi</w:t>
            </w:r>
            <w:r w:rsidR="00D84F0C" w:rsidRPr="00DD57E3">
              <w:rPr>
                <w:rFonts w:cs="Times New Roman"/>
                <w:bCs/>
                <w:iCs/>
                <w:szCs w:val="24"/>
                <w:lang w:val="ro-MD"/>
              </w:rPr>
              <w:t>ț</w:t>
            </w:r>
            <w:r w:rsidRPr="00DD57E3">
              <w:rPr>
                <w:rFonts w:cs="Times New Roman"/>
                <w:bCs/>
                <w:iCs/>
                <w:szCs w:val="24"/>
                <w:lang w:val="ro-MD"/>
              </w:rPr>
              <w:t>ia către o mobilitate cu emisii reduse, institu</w:t>
            </w:r>
            <w:r w:rsidR="00D84F0C" w:rsidRPr="00DD57E3">
              <w:rPr>
                <w:rFonts w:cs="Times New Roman"/>
                <w:bCs/>
                <w:iCs/>
                <w:szCs w:val="24"/>
                <w:lang w:val="ro-MD"/>
              </w:rPr>
              <w:t>ț</w:t>
            </w:r>
            <w:r w:rsidRPr="00DD57E3">
              <w:rPr>
                <w:rFonts w:cs="Times New Roman"/>
                <w:bCs/>
                <w:iCs/>
                <w:szCs w:val="24"/>
                <w:lang w:val="ro-MD"/>
              </w:rPr>
              <w:t>iile financiare se pot pozi</w:t>
            </w:r>
            <w:r w:rsidR="00D84F0C" w:rsidRPr="00DD57E3">
              <w:rPr>
                <w:rFonts w:cs="Times New Roman"/>
                <w:bCs/>
                <w:iCs/>
                <w:szCs w:val="24"/>
                <w:lang w:val="ro-MD"/>
              </w:rPr>
              <w:t>ț</w:t>
            </w:r>
            <w:r w:rsidRPr="00DD57E3">
              <w:rPr>
                <w:rFonts w:cs="Times New Roman"/>
                <w:bCs/>
                <w:iCs/>
                <w:szCs w:val="24"/>
                <w:lang w:val="ro-MD"/>
              </w:rPr>
              <w:t>iona ca actori-cheie în finan</w:t>
            </w:r>
            <w:r w:rsidR="00D84F0C" w:rsidRPr="00DD57E3">
              <w:rPr>
                <w:rFonts w:cs="Times New Roman"/>
                <w:bCs/>
                <w:iCs/>
                <w:szCs w:val="24"/>
                <w:lang w:val="ro-MD"/>
              </w:rPr>
              <w:t>ț</w:t>
            </w:r>
            <w:r w:rsidRPr="00DD57E3">
              <w:rPr>
                <w:rFonts w:cs="Times New Roman"/>
                <w:bCs/>
                <w:iCs/>
                <w:szCs w:val="24"/>
                <w:lang w:val="ro-MD"/>
              </w:rPr>
              <w:t>area tranzi</w:t>
            </w:r>
            <w:r w:rsidR="00D84F0C" w:rsidRPr="00DD57E3">
              <w:rPr>
                <w:rFonts w:cs="Times New Roman"/>
                <w:bCs/>
                <w:iCs/>
                <w:szCs w:val="24"/>
                <w:lang w:val="ro-MD"/>
              </w:rPr>
              <w:t>ț</w:t>
            </w:r>
            <w:r w:rsidRPr="00DD57E3">
              <w:rPr>
                <w:rFonts w:cs="Times New Roman"/>
                <w:bCs/>
                <w:iCs/>
                <w:szCs w:val="24"/>
                <w:lang w:val="ro-MD"/>
              </w:rPr>
              <w:t>iei ecologice, beneficiind de cererea în cre</w:t>
            </w:r>
            <w:r w:rsidR="00D84F0C" w:rsidRPr="00DD57E3">
              <w:rPr>
                <w:rFonts w:cs="Times New Roman"/>
                <w:bCs/>
                <w:iCs/>
                <w:szCs w:val="24"/>
                <w:lang w:val="ro-MD"/>
              </w:rPr>
              <w:t>ș</w:t>
            </w:r>
            <w:r w:rsidRPr="00DD57E3">
              <w:rPr>
                <w:rFonts w:cs="Times New Roman"/>
                <w:bCs/>
                <w:iCs/>
                <w:szCs w:val="24"/>
                <w:lang w:val="ro-MD"/>
              </w:rPr>
              <w:t>tere pentru solu</w:t>
            </w:r>
            <w:r w:rsidR="00D84F0C" w:rsidRPr="00DD57E3">
              <w:rPr>
                <w:rFonts w:cs="Times New Roman"/>
                <w:bCs/>
                <w:iCs/>
                <w:szCs w:val="24"/>
                <w:lang w:val="ro-MD"/>
              </w:rPr>
              <w:t>ț</w:t>
            </w:r>
            <w:r w:rsidRPr="00DD57E3">
              <w:rPr>
                <w:rFonts w:cs="Times New Roman"/>
                <w:bCs/>
                <w:iCs/>
                <w:szCs w:val="24"/>
                <w:lang w:val="ro-MD"/>
              </w:rPr>
              <w:t>ii de transport nepoluante.</w:t>
            </w:r>
          </w:p>
          <w:p w14:paraId="06CC9CEC" w14:textId="22D3FEF4" w:rsidR="00045790" w:rsidRPr="00DD57E3" w:rsidRDefault="00E5699A" w:rsidP="00045790">
            <w:pPr>
              <w:tabs>
                <w:tab w:val="left" w:pos="990"/>
              </w:tabs>
              <w:spacing w:after="12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Este probabil ca pia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a să se consolideze, deoarece operatorii mai mici se străduiesc să facă fa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ă costurilor crescute ale tranzi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iei către vehicule cu emisii reduse, în timp ce operatorii mai mari care pot investi în tehnologii ecologice pot ob</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ine un avantaj competitiv. În acela</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timp, furnizorii străini de vehicule, dezvoltatorii de infrastructură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institu</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iile financiare vor găsi noi oportunită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 de a intra pe pia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a </w:t>
            </w:r>
            <w:r w:rsidR="00836FA4" w:rsidRPr="00DD57E3">
              <w:rPr>
                <w:rFonts w:ascii="Times New Roman" w:hAnsi="Times New Roman" w:cs="Times New Roman"/>
                <w:bCs/>
                <w:iCs/>
                <w:sz w:val="24"/>
                <w:szCs w:val="24"/>
                <w:lang w:val="ro-MD"/>
              </w:rPr>
              <w:t>Republicii Moldova</w:t>
            </w:r>
            <w:r w:rsidRPr="00DD57E3">
              <w:rPr>
                <w:rFonts w:ascii="Times New Roman" w:hAnsi="Times New Roman" w:cs="Times New Roman"/>
                <w:bCs/>
                <w:iCs/>
                <w:sz w:val="24"/>
                <w:szCs w:val="24"/>
                <w:lang w:val="ro-MD"/>
              </w:rPr>
              <w:t xml:space="preserve">, remodelând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mai mult peisajul pentru transportul nepoluant în </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ară. Cu toate acestea, lipsa capacită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ilor interne de produc</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ie în </w:t>
            </w:r>
            <w:r w:rsidR="00852D56" w:rsidRPr="00DD57E3">
              <w:rPr>
                <w:rFonts w:ascii="Times New Roman" w:hAnsi="Times New Roman" w:cs="Times New Roman"/>
                <w:bCs/>
                <w:iCs/>
                <w:sz w:val="24"/>
                <w:szCs w:val="24"/>
                <w:lang w:val="ro-MD"/>
              </w:rPr>
              <w:t xml:space="preserve">Republica </w:t>
            </w:r>
            <w:r w:rsidRPr="00DD57E3">
              <w:rPr>
                <w:rFonts w:ascii="Times New Roman" w:hAnsi="Times New Roman" w:cs="Times New Roman"/>
                <w:bCs/>
                <w:iCs/>
                <w:sz w:val="24"/>
                <w:szCs w:val="24"/>
                <w:lang w:val="ro-MD"/>
              </w:rPr>
              <w:t>Moldova va crea o dependen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ă de furnizorii străini, ceea ce ar putea cre</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te costurile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vulnerabilită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ile lan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ului de aprovizionare.</w:t>
            </w:r>
          </w:p>
          <w:p w14:paraId="0A61B49F" w14:textId="77777777" w:rsidR="00D91B9B" w:rsidRPr="00DD57E3" w:rsidRDefault="00D91B9B">
            <w:pPr>
              <w:tabs>
                <w:tab w:val="left" w:pos="990"/>
              </w:tabs>
              <w:spacing w:after="120" w:line="240" w:lineRule="auto"/>
              <w:jc w:val="both"/>
              <w:rPr>
                <w:rFonts w:ascii="Times New Roman" w:hAnsi="Times New Roman" w:cs="Times New Roman"/>
                <w:b/>
                <w:i/>
                <w:sz w:val="24"/>
                <w:szCs w:val="24"/>
                <w:lang w:val="ro-MD"/>
              </w:rPr>
            </w:pPr>
            <w:bookmarkStart w:id="12" w:name="_Hlk191386278"/>
            <w:r w:rsidRPr="00DD57E3">
              <w:rPr>
                <w:rFonts w:ascii="Times New Roman" w:hAnsi="Times New Roman" w:cs="Times New Roman"/>
                <w:b/>
                <w:i/>
                <w:sz w:val="24"/>
                <w:szCs w:val="24"/>
                <w:lang w:val="ro-MD"/>
              </w:rPr>
              <w:t>4.4. Impactul social</w:t>
            </w:r>
          </w:p>
          <w:bookmarkEnd w:id="12"/>
          <w:p w14:paraId="11636B2B" w14:textId="5ECBCB3F" w:rsidR="003E393D" w:rsidRPr="00DD57E3" w:rsidRDefault="003E393D" w:rsidP="00124D23">
            <w:pPr>
              <w:tabs>
                <w:tab w:val="left" w:pos="241"/>
                <w:tab w:val="left" w:pos="315"/>
                <w:tab w:val="left" w:pos="599"/>
                <w:tab w:val="left" w:pos="922"/>
              </w:tabs>
              <w:spacing w:before="120" w:after="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 xml:space="preserve">Accentul pus de </w:t>
            </w:r>
            <w:r w:rsidR="00836FA4" w:rsidRPr="00DD57E3">
              <w:rPr>
                <w:rFonts w:ascii="Times New Roman" w:hAnsi="Times New Roman" w:cs="Times New Roman"/>
                <w:sz w:val="24"/>
                <w:szCs w:val="24"/>
                <w:lang w:val="ro-MD"/>
              </w:rPr>
              <w:t>D</w:t>
            </w:r>
            <w:r w:rsidRPr="00DD57E3">
              <w:rPr>
                <w:rFonts w:ascii="Times New Roman" w:hAnsi="Times New Roman" w:cs="Times New Roman"/>
                <w:sz w:val="24"/>
                <w:szCs w:val="24"/>
                <w:lang w:val="ro-MD"/>
              </w:rPr>
              <w:t xml:space="preserve">irectivă pe transportul nepoluant, pe vehiculele cu emisii reduse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pe mobilitatea durabilă va avea implica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pe scară largă pentru diferite segmente ale popula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iei, inclusiv pentru utilizatorii transporturilor, lucrătorii din sectorul transporturilor, reprezentan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comunită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exper</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ilor tehnici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activi</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tii ecologi</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ti locali.</w:t>
            </w:r>
          </w:p>
          <w:p w14:paraId="615ADCED" w14:textId="08096250" w:rsidR="00D91B9B" w:rsidRPr="00DD57E3" w:rsidRDefault="00D91B9B" w:rsidP="003E393D">
            <w:pPr>
              <w:tabs>
                <w:tab w:val="left" w:pos="241"/>
                <w:tab w:val="left" w:pos="315"/>
                <w:tab w:val="left" w:pos="599"/>
                <w:tab w:val="left" w:pos="922"/>
              </w:tabs>
              <w:spacing w:before="120" w:after="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 xml:space="preserve">Elaborarea proiectului de act normativ nu derivă doar din necesitatea păstrării echilibrului ecosistemului, dar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din punct de vedere social în condi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iile în care degradarea calită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aerului este un factor determinant în reducerea nivelului de sănătate a popula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iei. Zgomotul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vibra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iile generate de traficul rutier în zonele urbane provin de la motoarele</w:t>
            </w:r>
            <w:r w:rsidR="00F21988" w:rsidRPr="00DD57E3">
              <w:rPr>
                <w:rFonts w:ascii="Times New Roman" w:hAnsi="Times New Roman" w:cs="Times New Roman"/>
                <w:sz w:val="24"/>
                <w:szCs w:val="24"/>
                <w:lang w:val="ro-MD"/>
              </w:rPr>
              <w:t xml:space="preserve"> </w:t>
            </w:r>
            <w:r w:rsidR="003E393D" w:rsidRPr="00DD57E3">
              <w:rPr>
                <w:rFonts w:ascii="Times New Roman" w:hAnsi="Times New Roman" w:cs="Times New Roman"/>
                <w:sz w:val="24"/>
                <w:szCs w:val="24"/>
                <w:lang w:val="ro-MD"/>
              </w:rPr>
              <w:t>de ardere internă</w:t>
            </w:r>
            <w:r w:rsidRPr="00DD57E3">
              <w:rPr>
                <w:rFonts w:ascii="Times New Roman" w:hAnsi="Times New Roman" w:cs="Times New Roman"/>
                <w:sz w:val="24"/>
                <w:szCs w:val="24"/>
                <w:lang w:val="ro-MD"/>
              </w:rPr>
              <w:t xml:space="preserve">, </w:t>
            </w:r>
            <w:r w:rsidR="003E393D" w:rsidRPr="00DD57E3">
              <w:rPr>
                <w:rFonts w:ascii="Times New Roman" w:hAnsi="Times New Roman" w:cs="Times New Roman"/>
                <w:sz w:val="24"/>
                <w:szCs w:val="24"/>
                <w:lang w:val="ro-MD"/>
              </w:rPr>
              <w:t xml:space="preserve">care produc </w:t>
            </w:r>
            <w:r w:rsidRPr="00DD57E3">
              <w:rPr>
                <w:rFonts w:ascii="Times New Roman" w:hAnsi="Times New Roman" w:cs="Times New Roman"/>
                <w:sz w:val="24"/>
                <w:szCs w:val="24"/>
                <w:lang w:val="ro-MD"/>
              </w:rPr>
              <w:t>emisii de poluan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 </w:t>
            </w:r>
            <w:r w:rsidR="00D84F0C" w:rsidRPr="00DD57E3">
              <w:rPr>
                <w:rFonts w:ascii="Times New Roman" w:hAnsi="Times New Roman" w:cs="Times New Roman"/>
                <w:sz w:val="24"/>
                <w:szCs w:val="24"/>
                <w:lang w:val="ro-MD"/>
              </w:rPr>
              <w:t>ș</w:t>
            </w:r>
            <w:r w:rsidR="003E393D" w:rsidRPr="00DD57E3">
              <w:rPr>
                <w:rFonts w:ascii="Times New Roman" w:hAnsi="Times New Roman" w:cs="Times New Roman"/>
                <w:sz w:val="24"/>
                <w:szCs w:val="24"/>
                <w:lang w:val="ro-MD"/>
              </w:rPr>
              <w:t xml:space="preserve">i </w:t>
            </w:r>
            <w:r w:rsidRPr="00DD57E3">
              <w:rPr>
                <w:rFonts w:ascii="Times New Roman" w:hAnsi="Times New Roman" w:cs="Times New Roman"/>
                <w:sz w:val="24"/>
                <w:szCs w:val="24"/>
                <w:lang w:val="ro-MD"/>
              </w:rPr>
              <w:t>sporesc inciden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a bolilor respiratorii. Pe cale de consecin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ă, cumulul efectelor respective duc la deteriorării calită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vie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 a randamentul muncii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prin urmare a dezvoltării economice.</w:t>
            </w:r>
          </w:p>
          <w:p w14:paraId="3B5CF98C" w14:textId="2DE9C7F4" w:rsidR="006E55F4" w:rsidRPr="00DD57E3" w:rsidRDefault="006E55F4" w:rsidP="006E55F4">
            <w:pPr>
              <w:tabs>
                <w:tab w:val="left" w:pos="241"/>
                <w:tab w:val="left" w:pos="315"/>
                <w:tab w:val="left" w:pos="599"/>
                <w:tab w:val="left" w:pos="922"/>
              </w:tabs>
              <w:spacing w:before="120" w:after="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Punerea în aplicare a Directivei va afecta în mod direct pia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a muncii din sectorul transportului rutier, cu consecin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e atât pozitive, cât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negative pentru lucrătorii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angajatorii din </w:t>
            </w:r>
            <w:r w:rsidR="001626E0" w:rsidRPr="00DD57E3">
              <w:rPr>
                <w:rFonts w:ascii="Times New Roman" w:hAnsi="Times New Roman" w:cs="Times New Roman"/>
                <w:sz w:val="24"/>
                <w:szCs w:val="24"/>
                <w:lang w:val="ro-MD"/>
              </w:rPr>
              <w:t xml:space="preserve">Republica </w:t>
            </w:r>
            <w:r w:rsidRPr="00DD57E3">
              <w:rPr>
                <w:rFonts w:ascii="Times New Roman" w:hAnsi="Times New Roman" w:cs="Times New Roman"/>
                <w:sz w:val="24"/>
                <w:szCs w:val="24"/>
                <w:lang w:val="ro-MD"/>
              </w:rPr>
              <w:t xml:space="preserve">Moldova. Pe măsură ce cererea de vehicule nepoluante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de infrastructură de sprijin va cre</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te, vor apărea noi oportunită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 de angajare în mai multe sectoare. De</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Moldova nu are producători interni de vehicule, cererea crescută de vehicule electrice, hibride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cu hidrogen poate duce la crearea de locuri de muncă în serviciile de între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inere, repara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asisten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ă tehnică. Operatorii de transport vor avea nevoie de mecanici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tehnicieni specializa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 în între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inerea vehiculelor cu emisii reduse. Odată cu introducerea vehiculelor cu emisii reduse, dezvoltarea infrastructurii de încărcare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realimentare va deveni esen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ială. Acest lucru va genera locuri de muncă în instalarea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între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inerea sta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iilor de încărcare pentru vehiculele electrice sau a sta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iilor de alimentare pentru vehiculele alimentate cu hidrogen. </w:t>
            </w:r>
          </w:p>
          <w:p w14:paraId="303AD59F" w14:textId="39252102" w:rsidR="006E55F4" w:rsidRPr="00DD57E3" w:rsidRDefault="006E55F4" w:rsidP="006E55F4">
            <w:pPr>
              <w:tabs>
                <w:tab w:val="left" w:pos="241"/>
                <w:tab w:val="left" w:pos="315"/>
                <w:tab w:val="left" w:pos="599"/>
                <w:tab w:val="left" w:pos="922"/>
              </w:tabs>
              <w:spacing w:before="120" w:after="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Necesitatea de a pune în aplicare cerin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ele de reglementare ale </w:t>
            </w:r>
            <w:r w:rsidR="00FB5E9C" w:rsidRPr="00DD57E3">
              <w:rPr>
                <w:rFonts w:ascii="Times New Roman" w:hAnsi="Times New Roman" w:cs="Times New Roman"/>
                <w:sz w:val="24"/>
                <w:szCs w:val="24"/>
                <w:lang w:val="ro-MD"/>
              </w:rPr>
              <w:t xml:space="preserve">Directivei </w:t>
            </w:r>
            <w:r w:rsidRPr="00DD57E3">
              <w:rPr>
                <w:rFonts w:ascii="Times New Roman" w:hAnsi="Times New Roman" w:cs="Times New Roman"/>
                <w:sz w:val="24"/>
                <w:szCs w:val="24"/>
                <w:lang w:val="ro-MD"/>
              </w:rPr>
              <w:t>va conduce, de asemenea, la cre</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terea industriei de consultan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ă, în special în ceea ce prive</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te respectarea normelor de mediu, gestionarea parcului de vehicule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planificarea transportului durabil. Vor fi necesare programe de formare pentru operatorii de transport, mecanici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alte păr</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 interesate pentru a se adapta la noile tehnologii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standarde de reglementare.</w:t>
            </w:r>
          </w:p>
          <w:p w14:paraId="53F4CA6F" w14:textId="6B0D5BC5" w:rsidR="006E55F4" w:rsidRPr="00DD57E3" w:rsidRDefault="006E55F4" w:rsidP="006E55F4">
            <w:pPr>
              <w:tabs>
                <w:tab w:val="left" w:pos="241"/>
                <w:tab w:val="left" w:pos="315"/>
                <w:tab w:val="left" w:pos="599"/>
                <w:tab w:val="left" w:pos="922"/>
              </w:tabs>
              <w:spacing w:before="120" w:after="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Tranzi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ia către vehicule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tehnologii nepoluante poate reprezenta o provocare pentru anumite categorii de lucrători din sectorul transporturilor. Este posibil ca lucrătorii din sectorul transporturilor, cum ar fi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oferii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personalul de între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inere, să fie nevoi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 să urmeze cursuri de recalificare pentru a opera sau între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ine vehicule electrice sau hibride. Autorită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ile publice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angajatorii din sectorul privat ar putea fi nevoi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 să investească în programe de formare pentru a se asigura că lucrătorii au competen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ele necesare pentru a utiliza noile tehnologii. Pentru operatorii de transport mai mici, care s-ar putea confrunta cu dificultă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 în a finan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a tranzi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 către vehicule nepoluante, este posibil să se producă o dislocare a locurilor de muncă pe termen scurt. Lucrătorii angaja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 </w:t>
            </w:r>
            <w:r w:rsidR="000872F8" w:rsidRPr="00DD57E3">
              <w:rPr>
                <w:rFonts w:ascii="Times New Roman" w:hAnsi="Times New Roman" w:cs="Times New Roman"/>
                <w:sz w:val="24"/>
                <w:szCs w:val="24"/>
                <w:lang w:val="ro-MD"/>
              </w:rPr>
              <w:t>p</w:t>
            </w:r>
            <w:r w:rsidRPr="00DD57E3">
              <w:rPr>
                <w:rFonts w:ascii="Times New Roman" w:hAnsi="Times New Roman" w:cs="Times New Roman"/>
                <w:sz w:val="24"/>
                <w:szCs w:val="24"/>
                <w:lang w:val="ro-MD"/>
              </w:rPr>
              <w:t xml:space="preserve">e flote mai vechi sau de operatori incapabili să se adapteze la noile reglementări ar putea </w:t>
            </w:r>
            <w:r w:rsidRPr="00DD57E3">
              <w:rPr>
                <w:rFonts w:ascii="Times New Roman" w:hAnsi="Times New Roman" w:cs="Times New Roman"/>
                <w:sz w:val="24"/>
                <w:szCs w:val="24"/>
                <w:lang w:val="ro-MD"/>
              </w:rPr>
              <w:lastRenderedPageBreak/>
              <w:t>fi concedia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 În acest sens, vor fi necesare programe sociale, cum ar fi reconversia profesională sau asisten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a pentru tranzi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ie, pentru a atenua efectele negative ale pierderilor de locuri de muncă.</w:t>
            </w:r>
          </w:p>
          <w:p w14:paraId="2C1F675F" w14:textId="2DF98F02" w:rsidR="0093578C" w:rsidRPr="00DD57E3" w:rsidRDefault="006E55F4" w:rsidP="0093578C">
            <w:pPr>
              <w:tabs>
                <w:tab w:val="left" w:pos="241"/>
                <w:tab w:val="left" w:pos="315"/>
                <w:tab w:val="left" w:pos="599"/>
                <w:tab w:val="left" w:pos="922"/>
              </w:tabs>
              <w:spacing w:before="120" w:after="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Este probabil ca transpunerea Directivei să aibă efecte pozitive asupra incluziunii sociale, în special pentru comunită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ile marginalizate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grupurile defavorizate. Prin încurajarea adoptării de vehicule ecologice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eficiente în transportul public, </w:t>
            </w:r>
            <w:r w:rsidR="00FB5E9C" w:rsidRPr="00DD57E3">
              <w:rPr>
                <w:rFonts w:ascii="Times New Roman" w:hAnsi="Times New Roman" w:cs="Times New Roman"/>
                <w:sz w:val="24"/>
                <w:szCs w:val="24"/>
                <w:lang w:val="ro-MD"/>
              </w:rPr>
              <w:t xml:space="preserve">Directiva </w:t>
            </w:r>
            <w:r w:rsidRPr="00DD57E3">
              <w:rPr>
                <w:rFonts w:ascii="Times New Roman" w:hAnsi="Times New Roman" w:cs="Times New Roman"/>
                <w:sz w:val="24"/>
                <w:szCs w:val="24"/>
                <w:lang w:val="ro-MD"/>
              </w:rPr>
              <w:t>poate duce la op</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iuni de transport mai accesibile. Flotele de transport public îmbunătă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ite, propulsate de vehicule cu emisii reduse, vor oferi un mijloc de transport mai fiabil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mai rentabil pentru persoanele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familiile cu venituri reduse. Acest lucru este deosebit de important pentru cei care nu î</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pot permite vehicule private.</w:t>
            </w:r>
          </w:p>
          <w:p w14:paraId="5A4BED44" w14:textId="52CB935E" w:rsidR="006E55F4" w:rsidRPr="00DD57E3" w:rsidRDefault="006E55F4" w:rsidP="0093578C">
            <w:pPr>
              <w:tabs>
                <w:tab w:val="left" w:pos="241"/>
                <w:tab w:val="left" w:pos="315"/>
                <w:tab w:val="left" w:pos="599"/>
                <w:tab w:val="left" w:pos="922"/>
              </w:tabs>
              <w:spacing w:before="120" w:after="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Trecerea la vehicule cu emisii reduse ar putea contribui, de asemenea, la îmbunătă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irea accesibilită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transportului pentru persoanele cu handicap. Atunci când planifică tranzi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 autorită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ile publice pot încorpora caracteristici de accesibilitate în vehiculele noi, asigurându-se că acestea sunt potrivite pentru persoanele cu probleme de mobilitate. Acest lucru ar îmbunătă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 incluziunea socială a persoanelor cu handicap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ar garanta că acestea pot participa pe deplin în societate.</w:t>
            </w:r>
          </w:p>
          <w:p w14:paraId="42CB5654" w14:textId="7E6324DA" w:rsidR="006E55F4" w:rsidRPr="00DD57E3" w:rsidRDefault="006E55F4" w:rsidP="006E55F4">
            <w:pPr>
              <w:tabs>
                <w:tab w:val="left" w:pos="241"/>
                <w:tab w:val="left" w:pos="315"/>
                <w:tab w:val="left" w:pos="599"/>
                <w:tab w:val="left" w:pos="922"/>
              </w:tabs>
              <w:spacing w:before="120" w:after="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Implementarea transportului cu emisii reduse poate promova echitatea socială prin îmbunătă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irea accesului la serviciile de transport în zonele rurale sau slab deservite. Dacă se introduc agregatori sau alte forme de punere în comun a transportului, acestea ar putea ajuta ora</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ele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satele mai mici să aibă acces la op</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iuni de transport mai curate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mai accesibile, abordând astfel inegalită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ile de transport dintre zonele urbane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rurale.</w:t>
            </w:r>
          </w:p>
          <w:p w14:paraId="4D6D81D4" w14:textId="1CFD8DF9" w:rsidR="0093578C" w:rsidRPr="00DD57E3" w:rsidRDefault="0093578C" w:rsidP="00124D23">
            <w:pPr>
              <w:tabs>
                <w:tab w:val="left" w:pos="241"/>
                <w:tab w:val="left" w:pos="315"/>
                <w:tab w:val="left" w:pos="599"/>
                <w:tab w:val="left" w:pos="922"/>
              </w:tabs>
              <w:spacing w:before="120" w:after="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Pe măsură ce sectorul transporturilor trece la vehicule mai pu</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in poluante, se vor înregistra îmbunătă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iri ale calită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spa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iilor publice, cum ar fi sta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iile de autobuz, zonele de parcare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peisajele stradale urbane. Odată cu reducerea emisiilor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a zgomotului, ora</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ele ar putea fi proiectate pentru a fi mai prietenoase cu pietonii, promovând o calitate mai bună a vie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pentru to</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 locuitorii.</w:t>
            </w:r>
          </w:p>
          <w:p w14:paraId="75DA4D88" w14:textId="0AF079A3" w:rsidR="00D91B9B" w:rsidRPr="00DD57E3" w:rsidRDefault="00D91B9B" w:rsidP="00124D23">
            <w:pPr>
              <w:tabs>
                <w:tab w:val="left" w:pos="241"/>
                <w:tab w:val="left" w:pos="315"/>
                <w:tab w:val="left" w:pos="599"/>
                <w:tab w:val="left" w:pos="922"/>
              </w:tabs>
              <w:spacing w:before="120" w:after="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 xml:space="preserve">Transportul eficient din punct de vedere energetic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nepoluant va duce către o mobilitatea sigură, sustenabilă, durabilă, inteligentă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cu emisii zero, va îmbunătă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 calitatea vie</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ii cetă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enilor, promovând vehiculele curate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o utilizare sporită a transportului public, ceea ce va reduce congestiile traficului urban, gradul de poluare, precum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accidentele. </w:t>
            </w:r>
          </w:p>
          <w:p w14:paraId="52DD47A7" w14:textId="77777777" w:rsidR="00D91B9B" w:rsidRPr="00DD57E3" w:rsidRDefault="00D91B9B">
            <w:pPr>
              <w:tabs>
                <w:tab w:val="left" w:pos="241"/>
                <w:tab w:val="left" w:pos="315"/>
                <w:tab w:val="left" w:pos="599"/>
                <w:tab w:val="left" w:pos="922"/>
              </w:tabs>
              <w:spacing w:before="120" w:after="0" w:line="240" w:lineRule="auto"/>
              <w:ind w:right="43"/>
              <w:jc w:val="both"/>
              <w:rPr>
                <w:rFonts w:ascii="Times New Roman" w:hAnsi="Times New Roman" w:cs="Times New Roman"/>
                <w:bCs/>
                <w:iCs/>
                <w:sz w:val="24"/>
                <w:szCs w:val="24"/>
                <w:lang w:val="ro-MD"/>
              </w:rPr>
            </w:pPr>
            <w:r w:rsidRPr="00DD57E3">
              <w:rPr>
                <w:rFonts w:ascii="Times New Roman" w:hAnsi="Times New Roman" w:cs="Times New Roman"/>
                <w:b/>
                <w:i/>
                <w:sz w:val="24"/>
                <w:szCs w:val="24"/>
                <w:lang w:val="ro-MD"/>
              </w:rPr>
              <w:t>4.4.1. Impactul asupra datelor cu caracter personal</w:t>
            </w:r>
          </w:p>
          <w:p w14:paraId="0E12A537" w14:textId="3D96C8D7" w:rsidR="00D91B9B" w:rsidRPr="00DD57E3" w:rsidRDefault="00D91B9B">
            <w:pPr>
              <w:tabs>
                <w:tab w:val="left" w:pos="990"/>
              </w:tabs>
              <w:spacing w:before="120"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Prezentul proiect de lege nu stabile</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te prevederi care ar putea avea impact asupra datelor cu caracter personal.</w:t>
            </w:r>
          </w:p>
          <w:p w14:paraId="7C58F6C2" w14:textId="3B523C43" w:rsidR="00D91B9B" w:rsidRPr="00DD57E3" w:rsidRDefault="00D91B9B">
            <w:pPr>
              <w:tabs>
                <w:tab w:val="left" w:pos="990"/>
              </w:tabs>
              <w:spacing w:after="0" w:line="240" w:lineRule="auto"/>
              <w:jc w:val="both"/>
              <w:rPr>
                <w:rFonts w:ascii="Times New Roman" w:hAnsi="Times New Roman" w:cs="Times New Roman"/>
                <w:b/>
                <w:i/>
                <w:sz w:val="24"/>
                <w:szCs w:val="24"/>
                <w:lang w:val="ro-MD"/>
              </w:rPr>
            </w:pPr>
            <w:r w:rsidRPr="00DD57E3">
              <w:rPr>
                <w:rFonts w:ascii="Times New Roman" w:hAnsi="Times New Roman" w:cs="Times New Roman"/>
                <w:b/>
                <w:i/>
                <w:sz w:val="24"/>
                <w:szCs w:val="24"/>
                <w:lang w:val="ro-MD"/>
              </w:rPr>
              <w:t>4.4.2. Impactul asupra echită</w:t>
            </w:r>
            <w:r w:rsidR="00D84F0C" w:rsidRPr="00DD57E3">
              <w:rPr>
                <w:rFonts w:ascii="Times New Roman" w:hAnsi="Times New Roman" w:cs="Times New Roman"/>
                <w:b/>
                <w:i/>
                <w:sz w:val="24"/>
                <w:szCs w:val="24"/>
                <w:lang w:val="ro-MD"/>
              </w:rPr>
              <w:t>ț</w:t>
            </w:r>
            <w:r w:rsidRPr="00DD57E3">
              <w:rPr>
                <w:rFonts w:ascii="Times New Roman" w:hAnsi="Times New Roman" w:cs="Times New Roman"/>
                <w:b/>
                <w:i/>
                <w:sz w:val="24"/>
                <w:szCs w:val="24"/>
                <w:lang w:val="ro-MD"/>
              </w:rPr>
              <w:t xml:space="preserve">ii </w:t>
            </w:r>
            <w:r w:rsidR="00D84F0C" w:rsidRPr="00DD57E3">
              <w:rPr>
                <w:rFonts w:ascii="Times New Roman" w:hAnsi="Times New Roman" w:cs="Times New Roman"/>
                <w:b/>
                <w:i/>
                <w:sz w:val="24"/>
                <w:szCs w:val="24"/>
                <w:lang w:val="ro-MD"/>
              </w:rPr>
              <w:t>ș</w:t>
            </w:r>
            <w:r w:rsidRPr="00DD57E3">
              <w:rPr>
                <w:rFonts w:ascii="Times New Roman" w:hAnsi="Times New Roman" w:cs="Times New Roman"/>
                <w:b/>
                <w:i/>
                <w:sz w:val="24"/>
                <w:szCs w:val="24"/>
                <w:lang w:val="ro-MD"/>
              </w:rPr>
              <w:t>i egalită</w:t>
            </w:r>
            <w:r w:rsidR="00D84F0C" w:rsidRPr="00DD57E3">
              <w:rPr>
                <w:rFonts w:ascii="Times New Roman" w:hAnsi="Times New Roman" w:cs="Times New Roman"/>
                <w:b/>
                <w:i/>
                <w:sz w:val="24"/>
                <w:szCs w:val="24"/>
                <w:lang w:val="ro-MD"/>
              </w:rPr>
              <w:t>ț</w:t>
            </w:r>
            <w:r w:rsidRPr="00DD57E3">
              <w:rPr>
                <w:rFonts w:ascii="Times New Roman" w:hAnsi="Times New Roman" w:cs="Times New Roman"/>
                <w:b/>
                <w:i/>
                <w:sz w:val="24"/>
                <w:szCs w:val="24"/>
                <w:lang w:val="ro-MD"/>
              </w:rPr>
              <w:t>ii de gen</w:t>
            </w:r>
          </w:p>
          <w:p w14:paraId="7BFF7120" w14:textId="70B1E38E" w:rsidR="00D91B9B" w:rsidRPr="00DD57E3" w:rsidRDefault="00D91B9B">
            <w:pPr>
              <w:tabs>
                <w:tab w:val="left" w:pos="990"/>
              </w:tabs>
              <w:spacing w:before="120" w:after="12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Prezentul proiect de lege nu stabile</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te prevederi care ar putea influen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a în mod diferit femeile, bărba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minorită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ile de gen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nu prevede promovarea unor măsuri de discriminare.</w:t>
            </w:r>
          </w:p>
          <w:p w14:paraId="11A3D42F" w14:textId="77777777" w:rsidR="00D91B9B" w:rsidRPr="00DD57E3" w:rsidRDefault="00D91B9B">
            <w:pPr>
              <w:tabs>
                <w:tab w:val="left" w:pos="990"/>
              </w:tabs>
              <w:spacing w:before="120" w:after="120" w:line="240" w:lineRule="auto"/>
              <w:jc w:val="both"/>
              <w:rPr>
                <w:rFonts w:ascii="Times New Roman" w:hAnsi="Times New Roman" w:cs="Times New Roman"/>
                <w:b/>
                <w:i/>
                <w:sz w:val="24"/>
                <w:szCs w:val="24"/>
                <w:lang w:val="ro-MD"/>
              </w:rPr>
            </w:pPr>
            <w:bookmarkStart w:id="13" w:name="_Hlk191386295"/>
            <w:r w:rsidRPr="00DD57E3">
              <w:rPr>
                <w:rFonts w:ascii="Times New Roman" w:hAnsi="Times New Roman" w:cs="Times New Roman"/>
                <w:b/>
                <w:i/>
                <w:sz w:val="24"/>
                <w:szCs w:val="24"/>
                <w:lang w:val="ro-MD"/>
              </w:rPr>
              <w:t>4.5. Impactul asupra mediului</w:t>
            </w:r>
          </w:p>
          <w:bookmarkEnd w:id="13"/>
          <w:p w14:paraId="550FD6C8" w14:textId="3893B257" w:rsidR="00D91B9B" w:rsidRPr="00DD57E3" w:rsidRDefault="00D91B9B">
            <w:pPr>
              <w:tabs>
                <w:tab w:val="left" w:pos="241"/>
                <w:tab w:val="left" w:pos="315"/>
                <w:tab w:val="left" w:pos="599"/>
                <w:tab w:val="left" w:pos="922"/>
              </w:tabs>
              <w:spacing w:before="120" w:after="0" w:line="240" w:lineRule="auto"/>
              <w:ind w:right="43"/>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 xml:space="preserve">Gazele cu efect de seră emise de către sectorul transporturilor, generează un impact distructiv asupra ecosistemului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 xml:space="preserve">i din acest considerent </w:t>
            </w:r>
            <w:r w:rsidRPr="00DD57E3">
              <w:rPr>
                <w:rFonts w:ascii="Times New Roman" w:hAnsi="Times New Roman" w:cs="Times New Roman"/>
                <w:bCs/>
                <w:sz w:val="24"/>
                <w:szCs w:val="24"/>
                <w:lang w:val="ro-MD"/>
              </w:rPr>
              <w:t>trebuie tratat drept un sector prioritar pentru atenuarea efectelor nocive</w:t>
            </w:r>
            <w:r w:rsidRPr="00DD57E3">
              <w:rPr>
                <w:rFonts w:ascii="Times New Roman" w:hAnsi="Times New Roman" w:cs="Times New Roman"/>
                <w:sz w:val="24"/>
                <w:szCs w:val="24"/>
                <w:lang w:val="ro-MD"/>
              </w:rPr>
              <w:t>.</w:t>
            </w:r>
            <w:r w:rsidRPr="00DD57E3">
              <w:rPr>
                <w:rFonts w:ascii="Times New Roman" w:hAnsi="Times New Roman" w:cs="Times New Roman"/>
                <w:bCs/>
                <w:sz w:val="24"/>
                <w:szCs w:val="24"/>
                <w:lang w:val="ro-MD"/>
              </w:rPr>
              <w:t xml:space="preserve"> </w:t>
            </w:r>
            <w:r w:rsidRPr="00DD57E3">
              <w:rPr>
                <w:rFonts w:ascii="Times New Roman" w:hAnsi="Times New Roman" w:cs="Times New Roman"/>
                <w:bCs/>
                <w:iCs/>
                <w:sz w:val="24"/>
                <w:szCs w:val="24"/>
                <w:lang w:val="ro-MD"/>
              </w:rPr>
              <w:t>De notat că, impactul transporturilor asupra mediului a crescut odată cu cre</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terea numărului de autovehicule particulare, cre</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terea mobilită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ii pasagerilor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mărfurilor.</w:t>
            </w:r>
            <w:r w:rsidRPr="00DD57E3">
              <w:rPr>
                <w:rFonts w:ascii="Times New Roman" w:hAnsi="Times New Roman" w:cs="Times New Roman"/>
                <w:sz w:val="24"/>
                <w:szCs w:val="24"/>
                <w:lang w:val="ro-MD"/>
              </w:rPr>
              <w:t xml:space="preserve"> </w:t>
            </w:r>
          </w:p>
          <w:p w14:paraId="5BAF89FA" w14:textId="75B60222" w:rsidR="00D91B9B" w:rsidRPr="00DD57E3" w:rsidRDefault="00D91B9B">
            <w:pPr>
              <w:tabs>
                <w:tab w:val="left" w:pos="241"/>
                <w:tab w:val="left" w:pos="315"/>
                <w:tab w:val="left" w:pos="599"/>
                <w:tab w:val="left" w:pos="922"/>
              </w:tabs>
              <w:spacing w:before="100" w:after="100" w:line="240" w:lineRule="auto"/>
              <w:ind w:right="43"/>
              <w:jc w:val="both"/>
              <w:rPr>
                <w:rFonts w:ascii="Times New Roman" w:hAnsi="Times New Roman" w:cs="Times New Roman"/>
                <w:sz w:val="24"/>
                <w:szCs w:val="24"/>
                <w:lang w:val="ro-MD"/>
              </w:rPr>
            </w:pPr>
            <w:r w:rsidRPr="00DD57E3">
              <w:rPr>
                <w:rFonts w:ascii="Times New Roman" w:hAnsi="Times New Roman" w:cs="Times New Roman"/>
                <w:bCs/>
                <w:iCs/>
                <w:sz w:val="24"/>
                <w:szCs w:val="24"/>
                <w:lang w:val="ro-MD"/>
              </w:rPr>
              <w:t xml:space="preserve">Sectorului transporturi are impact nociv asupra mediului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prin poluarea solului cauzată în mare măsură de emisiile din aer prin deversări directe (produse petroliere, carburan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substan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e chimice)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scurgeri pe suprafe</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ele drumurilor care sunt spălate de ploi.</w:t>
            </w:r>
            <w:r w:rsidRPr="00DD57E3">
              <w:rPr>
                <w:rFonts w:ascii="Times New Roman" w:hAnsi="Times New Roman" w:cs="Times New Roman"/>
                <w:sz w:val="24"/>
                <w:szCs w:val="24"/>
                <w:lang w:val="ro-MD"/>
              </w:rPr>
              <w:t xml:space="preserve"> </w:t>
            </w:r>
            <w:r w:rsidRPr="00DD57E3">
              <w:rPr>
                <w:rFonts w:ascii="Times New Roman" w:hAnsi="Times New Roman" w:cs="Times New Roman"/>
                <w:bCs/>
                <w:iCs/>
                <w:sz w:val="24"/>
                <w:szCs w:val="24"/>
                <w:lang w:val="ro-MD"/>
              </w:rPr>
              <w:t>Din cauza poluării solului, transportul reprezintă un factor care contribuie la poluarea apei, afectând calitatea apei de suprafa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ă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indirect, a apelor subterane, </w:t>
            </w:r>
          </w:p>
          <w:p w14:paraId="784D150F" w14:textId="7ED41021" w:rsidR="00D91B9B" w:rsidRPr="00DD57E3" w:rsidRDefault="00D91B9B">
            <w:pPr>
              <w:tabs>
                <w:tab w:val="left" w:pos="241"/>
                <w:tab w:val="left" w:pos="315"/>
                <w:tab w:val="left" w:pos="599"/>
                <w:tab w:val="left" w:pos="922"/>
              </w:tabs>
              <w:spacing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xml:space="preserve">Totodată, sectorul transporturilor reprezintă principala sursă a poluării fonice în zonele urbane ca rezultat al traficului intens care generează zgomot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vibra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din cauza motoarelor pe bază de carburan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 sau instala</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iilor de e</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apament. </w:t>
            </w:r>
          </w:p>
          <w:p w14:paraId="402DC71A" w14:textId="07143B7B" w:rsidR="00D91B9B" w:rsidRPr="00DD57E3" w:rsidRDefault="00D91B9B">
            <w:pPr>
              <w:tabs>
                <w:tab w:val="left" w:pos="241"/>
                <w:tab w:val="left" w:pos="315"/>
                <w:tab w:val="left" w:pos="599"/>
                <w:tab w:val="left" w:pos="922"/>
              </w:tabs>
              <w:spacing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sz w:val="24"/>
                <w:szCs w:val="24"/>
                <w:lang w:val="ro-MD"/>
              </w:rPr>
              <w:t>Prin urmare, tranzi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 verde în domeniul transporturilor reprezintă o necesitate nu doar în contextul aderării la Uniunea Europeană, aceasta are o importan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ă vitală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indispensabilă pentru solu</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ionarea problemelor existen</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iale legate de schimbările climaterice cu care se confruntă în prezent întreaga lume. Emisiile în atmosferă a gazelor cu efect de seră constituie principalul factor de poluare a mediului înconjurător.</w:t>
            </w:r>
          </w:p>
          <w:p w14:paraId="373C0497" w14:textId="17BCADDD" w:rsidR="00D91B9B" w:rsidRPr="00DD57E3" w:rsidRDefault="00D91B9B">
            <w:pPr>
              <w:tabs>
                <w:tab w:val="left" w:pos="990"/>
              </w:tabs>
              <w:spacing w:before="100" w:after="100" w:line="240" w:lineRule="auto"/>
              <w:jc w:val="both"/>
              <w:rPr>
                <w:rFonts w:ascii="Times New Roman" w:hAnsi="Times New Roman" w:cs="Times New Roman"/>
                <w:bCs/>
                <w:iCs/>
                <w:sz w:val="24"/>
                <w:szCs w:val="24"/>
                <w:lang w:val="ro-MD"/>
              </w:rPr>
            </w:pPr>
            <w:r w:rsidRPr="00DD57E3">
              <w:rPr>
                <w:rFonts w:ascii="Times New Roman" w:hAnsi="Times New Roman" w:cs="Times New Roman"/>
                <w:sz w:val="24"/>
                <w:szCs w:val="24"/>
                <w:lang w:val="ro-MD"/>
              </w:rPr>
              <w:t>Utilizarea de vehicule de transport rutier nepoluante, eficiente din punct de vedere energetic, în sprijinul unei mobilită</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 cu emisii scăzute este de natură să amelioreze calitatea aerului în zonele urbane, să contribuie la </w:t>
            </w:r>
            <w:r w:rsidRPr="00DD57E3">
              <w:rPr>
                <w:rFonts w:ascii="Times New Roman" w:hAnsi="Times New Roman" w:cs="Times New Roman"/>
                <w:sz w:val="24"/>
                <w:szCs w:val="24"/>
                <w:lang w:val="ro-MD"/>
              </w:rPr>
              <w:lastRenderedPageBreak/>
              <w:t>reducerea emisiilor de CO</w:t>
            </w:r>
            <w:r w:rsidRPr="00DD57E3">
              <w:rPr>
                <w:rFonts w:ascii="Times New Roman" w:hAnsi="Times New Roman" w:cs="Times New Roman"/>
                <w:sz w:val="24"/>
                <w:szCs w:val="24"/>
                <w:vertAlign w:val="subscript"/>
                <w:lang w:val="ro-MD"/>
              </w:rPr>
              <w:t>2</w:t>
            </w:r>
            <w:r w:rsidR="002A6E7E" w:rsidRPr="00DD57E3">
              <w:rPr>
                <w:rFonts w:ascii="Times New Roman" w:hAnsi="Times New Roman" w:cs="Times New Roman"/>
                <w:sz w:val="24"/>
                <w:szCs w:val="24"/>
                <w:lang w:val="ro-MD"/>
              </w:rPr>
              <w:t>, oxizii de azot (NO</w:t>
            </w:r>
            <w:r w:rsidR="002A6E7E" w:rsidRPr="00DD57E3">
              <w:rPr>
                <w:rFonts w:ascii="Times New Roman" w:hAnsi="Times New Roman" w:cs="Times New Roman"/>
                <w:sz w:val="24"/>
                <w:szCs w:val="24"/>
                <w:vertAlign w:val="subscript"/>
                <w:lang w:val="ro-MD"/>
              </w:rPr>
              <w:t>x</w:t>
            </w:r>
            <w:r w:rsidR="002A6E7E" w:rsidRPr="00DD57E3">
              <w:rPr>
                <w:rFonts w:ascii="Times New Roman" w:hAnsi="Times New Roman" w:cs="Times New Roman"/>
                <w:sz w:val="24"/>
                <w:szCs w:val="24"/>
                <w:lang w:val="ro-MD"/>
              </w:rPr>
              <w:t>), pulberile în suspensie (PM), dioxidul de sulf (SO</w:t>
            </w:r>
            <w:r w:rsidR="002A6E7E" w:rsidRPr="00DD57E3">
              <w:rPr>
                <w:rFonts w:ascii="Times New Roman" w:hAnsi="Times New Roman" w:cs="Times New Roman"/>
                <w:sz w:val="24"/>
                <w:szCs w:val="24"/>
                <w:vertAlign w:val="subscript"/>
                <w:lang w:val="ro-MD"/>
              </w:rPr>
              <w:t>2</w:t>
            </w:r>
            <w:r w:rsidR="002A6E7E" w:rsidRPr="00DD57E3">
              <w:rPr>
                <w:rFonts w:ascii="Times New Roman" w:hAnsi="Times New Roman" w:cs="Times New Roman"/>
                <w:sz w:val="24"/>
                <w:szCs w:val="24"/>
                <w:lang w:val="ro-MD"/>
              </w:rPr>
              <w:t xml:space="preserve">) </w:t>
            </w:r>
            <w:r w:rsidR="00D84F0C" w:rsidRPr="00DD57E3">
              <w:rPr>
                <w:rFonts w:ascii="Times New Roman" w:hAnsi="Times New Roman" w:cs="Times New Roman"/>
                <w:sz w:val="24"/>
                <w:szCs w:val="24"/>
                <w:lang w:val="ro-MD"/>
              </w:rPr>
              <w:t>ș</w:t>
            </w:r>
            <w:r w:rsidR="002A6E7E" w:rsidRPr="00DD57E3">
              <w:rPr>
                <w:rFonts w:ascii="Times New Roman" w:hAnsi="Times New Roman" w:cs="Times New Roman"/>
                <w:sz w:val="24"/>
                <w:szCs w:val="24"/>
                <w:lang w:val="ro-MD"/>
              </w:rPr>
              <w:t>i compu</w:t>
            </w:r>
            <w:r w:rsidR="00D84F0C" w:rsidRPr="00DD57E3">
              <w:rPr>
                <w:rFonts w:ascii="Times New Roman" w:hAnsi="Times New Roman" w:cs="Times New Roman"/>
                <w:sz w:val="24"/>
                <w:szCs w:val="24"/>
                <w:lang w:val="ro-MD"/>
              </w:rPr>
              <w:t>ș</w:t>
            </w:r>
            <w:r w:rsidR="002A6E7E" w:rsidRPr="00DD57E3">
              <w:rPr>
                <w:rFonts w:ascii="Times New Roman" w:hAnsi="Times New Roman" w:cs="Times New Roman"/>
                <w:sz w:val="24"/>
                <w:szCs w:val="24"/>
                <w:lang w:val="ro-MD"/>
              </w:rPr>
              <w:t>ii organici volatili (COV), care sunt de obicei emi</w:t>
            </w:r>
            <w:r w:rsidR="00D84F0C" w:rsidRPr="00DD57E3">
              <w:rPr>
                <w:rFonts w:ascii="Times New Roman" w:hAnsi="Times New Roman" w:cs="Times New Roman"/>
                <w:sz w:val="24"/>
                <w:szCs w:val="24"/>
                <w:lang w:val="ro-MD"/>
              </w:rPr>
              <w:t>ș</w:t>
            </w:r>
            <w:r w:rsidR="002A6E7E" w:rsidRPr="00DD57E3">
              <w:rPr>
                <w:rFonts w:ascii="Times New Roman" w:hAnsi="Times New Roman" w:cs="Times New Roman"/>
                <w:sz w:val="24"/>
                <w:szCs w:val="24"/>
                <w:lang w:val="ro-MD"/>
              </w:rPr>
              <w:t>i de vehiculele conven</w:t>
            </w:r>
            <w:r w:rsidR="00D84F0C" w:rsidRPr="00DD57E3">
              <w:rPr>
                <w:rFonts w:ascii="Times New Roman" w:hAnsi="Times New Roman" w:cs="Times New Roman"/>
                <w:sz w:val="24"/>
                <w:szCs w:val="24"/>
                <w:lang w:val="ro-MD"/>
              </w:rPr>
              <w:t>ț</w:t>
            </w:r>
            <w:r w:rsidR="002A6E7E" w:rsidRPr="00DD57E3">
              <w:rPr>
                <w:rFonts w:ascii="Times New Roman" w:hAnsi="Times New Roman" w:cs="Times New Roman"/>
                <w:sz w:val="24"/>
                <w:szCs w:val="24"/>
                <w:lang w:val="ro-MD"/>
              </w:rPr>
              <w:t>ionale cu motor cu ardere internă.</w:t>
            </w:r>
            <w:r w:rsidRPr="00DD57E3">
              <w:rPr>
                <w:rFonts w:ascii="Times New Roman" w:hAnsi="Times New Roman" w:cs="Times New Roman"/>
                <w:sz w:val="24"/>
                <w:szCs w:val="24"/>
                <w:lang w:val="ro-MD"/>
              </w:rPr>
              <w:t xml:space="preserve"> </w:t>
            </w:r>
          </w:p>
          <w:p w14:paraId="1488EE06" w14:textId="11480B9D" w:rsidR="00D91B9B" w:rsidRPr="00DD57E3" w:rsidRDefault="00D91B9B">
            <w:pPr>
              <w:tabs>
                <w:tab w:val="left" w:pos="990"/>
              </w:tabs>
              <w:spacing w:before="120" w:after="0" w:line="240" w:lineRule="auto"/>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xml:space="preserve">Utilizarea mai frecventă a vehiculelor nepoluante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eficiente din punct de vedere energetic are rolul de a contribui la o mobilitate cu emisii scăzute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la îmbunătă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irea calită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aerului în zonele urbane.</w:t>
            </w:r>
          </w:p>
          <w:p w14:paraId="59EE8437" w14:textId="77777777" w:rsidR="00AA293D" w:rsidRPr="00DD57E3" w:rsidRDefault="1762F123" w:rsidP="00AA293D">
            <w:pPr>
              <w:tabs>
                <w:tab w:val="left" w:pos="990"/>
              </w:tabs>
              <w:spacing w:before="120" w:after="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Prin stimularea achiziționării vehiculelor nepoluante, respectivul proiect de lege poate soluționa o parte din probleme de mediu, contribuind la reducerea emisiilor de gaze cu efect de seră, asigurarea unui mediu de viață mai sănătos și la creșterea calității vieții.</w:t>
            </w:r>
            <w:r w:rsidR="00AA293D" w:rsidRPr="00DD57E3">
              <w:rPr>
                <w:rFonts w:ascii="Times New Roman" w:hAnsi="Times New Roman" w:cs="Times New Roman"/>
                <w:sz w:val="24"/>
                <w:szCs w:val="24"/>
                <w:lang w:val="ro-MD"/>
              </w:rPr>
              <w:t xml:space="preserve"> </w:t>
            </w:r>
          </w:p>
          <w:p w14:paraId="09CDD903" w14:textId="148DE02D" w:rsidR="0066294E" w:rsidRPr="00DD57E3" w:rsidRDefault="0066294E" w:rsidP="00AA293D">
            <w:pPr>
              <w:tabs>
                <w:tab w:val="left" w:pos="990"/>
              </w:tabs>
              <w:spacing w:before="120" w:after="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 xml:space="preserve">Implementarea proiectului de lege va contribui la realizarea țintei de reducere a emisiilor de gaze cu efect de seră (GES) asumată de către Republica Moldova, ca urmare a Deciziei </w:t>
            </w:r>
            <w:r w:rsidRPr="00DD57E3">
              <w:rPr>
                <w:rFonts w:ascii="Times New Roman" w:eastAsia="Times New Roman" w:hAnsi="Times New Roman" w:cs="Times New Roman"/>
                <w:sz w:val="24"/>
                <w:szCs w:val="24"/>
                <w:lang w:val="ro-MD"/>
              </w:rPr>
              <w:t>Consiliul Ministerial al Comunității Energetice nr. 2022/02/MC-EnC adoptată lÎn aceeași măsură, implementarea proiectului va contribui la realizarea</w:t>
            </w:r>
            <w:r w:rsidRPr="00DD57E3" w:rsidDel="00AA293D">
              <w:rPr>
                <w:rFonts w:ascii="Times New Roman" w:hAnsi="Times New Roman" w:cs="Times New Roman"/>
                <w:sz w:val="24"/>
                <w:szCs w:val="24"/>
                <w:lang w:val="ro-MD"/>
              </w:rPr>
              <w:t xml:space="preserve"> </w:t>
            </w:r>
            <w:r w:rsidRPr="00DD57E3">
              <w:rPr>
                <w:rFonts w:ascii="Times New Roman" w:hAnsi="Times New Roman" w:cs="Times New Roman"/>
                <w:sz w:val="24"/>
                <w:szCs w:val="24"/>
                <w:lang w:val="ro-MD"/>
              </w:rPr>
              <w:t>țintelor naționale a emisiilor de GES, prevăzute în Planul național integrat privind energia și clima pentru perioada 2025-2030 (PNIEC), aprobat prin Hotărârea Guvernului nr. 86/2025, stabilite la nivel de 70% până în 2030 necondiționat și 88% condiționat, sub nivelul din 1990. În conformitate cu Tabelul recapitulativ cu principalele obiective, politici și măsuri ale PNIEC, pe dimensiunea „Decarbonizare”, este stabilit Obiectivul principal: „</w:t>
            </w:r>
            <w:r w:rsidRPr="00DD57E3">
              <w:rPr>
                <w:rFonts w:ascii="Times New Roman" w:hAnsi="Times New Roman" w:cs="Times New Roman"/>
                <w:b/>
                <w:bCs/>
                <w:sz w:val="24"/>
                <w:szCs w:val="24"/>
                <w:lang w:val="ro-MD"/>
              </w:rPr>
              <w:t>SER</w:t>
            </w:r>
            <w:r w:rsidRPr="00DD57E3">
              <w:rPr>
                <w:rFonts w:ascii="Times New Roman" w:hAnsi="Times New Roman" w:cs="Times New Roman"/>
                <w:b/>
                <w:sz w:val="24"/>
                <w:szCs w:val="24"/>
                <w:lang w:val="ro-MD"/>
              </w:rPr>
              <w:t>-T:</w:t>
            </w:r>
            <w:r w:rsidRPr="00DD57E3">
              <w:rPr>
                <w:rFonts w:ascii="Times New Roman" w:hAnsi="Times New Roman" w:cs="Times New Roman"/>
                <w:sz w:val="24"/>
                <w:szCs w:val="24"/>
                <w:lang w:val="ro-MD"/>
              </w:rPr>
              <w:t xml:space="preserve"> 6,9% în consumul de combustibili în sectorul transporturilor, până în 2030, ca urmare a electrificării transporturilor, a creșterii utilizării biocombustibililor până la 7,6% și a numărului de vehicule electrice etc”. La fel, sectorul transporturilor este vizat în Programului de dezvoltare cu emisii reduse al Republicii Moldova până în 2030, aprobat prin Hotărârea Guvernului nr. 659/2023, care stabilește drept obiectiv specific pentru sectorul transporturilor, reducerea emisiilor de GES cu 52%/55% în 2030 față de perioada de referință 1990.</w:t>
            </w:r>
          </w:p>
          <w:p w14:paraId="530DE276" w14:textId="77777777" w:rsidR="006C6206" w:rsidRPr="00DD57E3" w:rsidRDefault="006C6206" w:rsidP="006C6206">
            <w:pPr>
              <w:tabs>
                <w:tab w:val="left" w:pos="990"/>
              </w:tabs>
              <w:spacing w:before="120" w:after="0" w:line="240" w:lineRule="auto"/>
              <w:jc w:val="both"/>
              <w:rPr>
                <w:rFonts w:ascii="Times New Roman" w:hAnsi="Times New Roman" w:cs="Times New Roman"/>
                <w:sz w:val="24"/>
                <w:szCs w:val="24"/>
                <w:lang w:val="ro-MD"/>
              </w:rPr>
            </w:pPr>
          </w:p>
          <w:p w14:paraId="56B5AE78" w14:textId="77777777" w:rsidR="006C6206" w:rsidRPr="00DD57E3" w:rsidRDefault="006C6206" w:rsidP="006C6206">
            <w:pPr>
              <w:tabs>
                <w:tab w:val="left" w:pos="990"/>
              </w:tabs>
              <w:spacing w:before="120" w:after="120" w:line="240" w:lineRule="auto"/>
              <w:jc w:val="both"/>
              <w:rPr>
                <w:rFonts w:ascii="Times New Roman" w:hAnsi="Times New Roman" w:cs="Times New Roman"/>
                <w:b/>
                <w:i/>
                <w:sz w:val="24"/>
                <w:szCs w:val="24"/>
                <w:lang w:val="ro-MD"/>
              </w:rPr>
            </w:pPr>
            <w:r w:rsidRPr="00DD57E3">
              <w:rPr>
                <w:rFonts w:ascii="Times New Roman" w:hAnsi="Times New Roman" w:cs="Times New Roman"/>
                <w:b/>
                <w:i/>
                <w:sz w:val="24"/>
                <w:szCs w:val="24"/>
                <w:lang w:val="ro-MD"/>
              </w:rPr>
              <w:t>4.6. Alte impacturi și informații relevante</w:t>
            </w:r>
          </w:p>
          <w:p w14:paraId="12F31720" w14:textId="77777777" w:rsidR="006C6206" w:rsidRPr="00DD57E3" w:rsidRDefault="006C6206" w:rsidP="006C6206">
            <w:pPr>
              <w:tabs>
                <w:tab w:val="left" w:pos="990"/>
              </w:tabs>
              <w:spacing w:before="120" w:after="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Directiva pune accentul pe tranziția către vehiculele cu emisii reduse, care sunt alimentate în principal cu energie electrică, hidrogen sau biocombustibili. Această schimbare va influența cererea de energie, infrastructura, dinamica pieței și politicile energetice.</w:t>
            </w:r>
          </w:p>
          <w:p w14:paraId="12CADED3" w14:textId="77777777" w:rsidR="006C6206" w:rsidRPr="00DD57E3" w:rsidRDefault="006C6206" w:rsidP="006C6206">
            <w:pPr>
              <w:tabs>
                <w:tab w:val="left" w:pos="990"/>
              </w:tabs>
              <w:spacing w:before="120" w:after="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Pe măsură ce se adoptă mai multe vehicule cu emisii reduse, în special autobuze electrice, taxiuri și autoturisme private, cererea de energie electrică va crește semnificativ. Acest lucru va duce la necesitatea de a crește producția de energie electrică pentru a satisface cererea suplimentară.</w:t>
            </w:r>
          </w:p>
          <w:p w14:paraId="0BD300F9" w14:textId="77777777" w:rsidR="006C6206" w:rsidRPr="00DD57E3" w:rsidRDefault="006C6206" w:rsidP="006C6206">
            <w:pPr>
              <w:tabs>
                <w:tab w:val="left" w:pos="990"/>
              </w:tabs>
              <w:spacing w:before="120" w:after="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Rețeaua electrică existentă din Republica Moldova va trebui să fie evaluată și modernizată pentru a face față sarcinii crescute generate de încărcarea vehiculelor electrice. Stabilitatea rețelei și capacitatea de a furniza energie electrică în perioadele de vârf ale cererii vor deveni cruciale. Vor fi necesare investiții în tehnologii de rețea inteligente, sisteme de stocare a energiei și gestionarea sarcinii pentru a asigura distribuția eficientă a energiei electrice și pentru a preveni supraîncărcarea rețelei.</w:t>
            </w:r>
          </w:p>
          <w:p w14:paraId="38D90C67" w14:textId="77777777" w:rsidR="006C6206" w:rsidRPr="00DD57E3" w:rsidRDefault="006C6206" w:rsidP="006C6206">
            <w:pPr>
              <w:tabs>
                <w:tab w:val="left" w:pos="990"/>
              </w:tabs>
              <w:spacing w:before="120" w:after="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Adoptarea pe scară largă a vehiculelor electrice va necesita investiții semnificative în infrastructura de încărcare, inclusiv stații de încărcare publice și private. Aceste stații vor trebui să fie conectate la rețeaua electrică, ceea ce va sublinia și mai mult importanța unor sisteme fiabile de aprovizionare cu energie. În plus, infrastructura de încărcare va trebui să fie echipată cu încărcătoare de mare putere, capabile să reîncarce rapid vehiculele electrice pentru a reduce la minimum timpul de nefuncționare pentru utilizatori.</w:t>
            </w:r>
          </w:p>
          <w:p w14:paraId="79BD8AE1" w14:textId="77777777" w:rsidR="006C6206" w:rsidRPr="00DD57E3" w:rsidRDefault="006C6206" w:rsidP="006C6206">
            <w:pPr>
              <w:tabs>
                <w:tab w:val="left" w:pos="990"/>
              </w:tabs>
              <w:spacing w:before="120" w:after="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Modelele de consum de energie în Republica Moldova se vor schimba odată cu adoptarea sporită a vehiculelor electrice. În timp ce transportul se va baza tot mai mult pe electricitate, cererea de benzină și motorină va scădea, reducând dependența de combustibilii fosili importați. Această schimbare ar putea îmbunătăți securitatea energetică a Republicii Moldova prin diminuarea dependenței sale de sursele de energie străine și reducerea expunerii la prețurile volatile ale petrolului și gazelor.</w:t>
            </w:r>
          </w:p>
          <w:p w14:paraId="7785D42B" w14:textId="77777777" w:rsidR="006C6206" w:rsidRPr="00DD57E3" w:rsidRDefault="006C6206" w:rsidP="006C6206">
            <w:pPr>
              <w:tabs>
                <w:tab w:val="left" w:pos="990"/>
              </w:tabs>
              <w:spacing w:before="120" w:after="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Deși Directiva 2009/33/CE se concentrează în principal pe vehiculele electrice, vehiculele alimentate cu hidrogen câștigă, de asemenea, teren ca alternativă la combustibilii fosili. Moldova ar putea explora potențialul hidrogenului ca combustibil nepoluant pentru transportul rutier, în special pentru vehiculele grele, cum ar fi autobuzele, camioanele și transportul de marfă.</w:t>
            </w:r>
          </w:p>
          <w:p w14:paraId="64296E54" w14:textId="77777777" w:rsidR="006C6206" w:rsidRPr="00DD57E3" w:rsidRDefault="006C6206" w:rsidP="006C6206">
            <w:pPr>
              <w:tabs>
                <w:tab w:val="left" w:pos="990"/>
              </w:tabs>
              <w:spacing w:before="120" w:after="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 xml:space="preserve">Dacă autoritățile decid să adopte vehiculele pe bază de hidrogen ca parte a strategiei sale de transport nepoluant, va trebui să investească în infrastructura de producție, stocare și realimentare cu hidrogen. Aceasta ar putea </w:t>
            </w:r>
            <w:r w:rsidRPr="00DD57E3">
              <w:rPr>
                <w:rFonts w:ascii="Times New Roman" w:hAnsi="Times New Roman" w:cs="Times New Roman"/>
                <w:sz w:val="24"/>
                <w:szCs w:val="24"/>
                <w:lang w:val="ro-MD"/>
              </w:rPr>
              <w:lastRenderedPageBreak/>
              <w:t>implica înființarea unor fabrici de producție a hidrogenului, precum și a unor stații de realimentare de-a lungul coridoarelor de transport cheie. Sectorul energetic va juca un rol esențial în sprijinirea acestei tranziții, în special în ceea ce privește dezvoltarea metodelor de producție a hidrogenului, cum ar fi electroliza alimentată de energie regenerabilă.</w:t>
            </w:r>
          </w:p>
          <w:p w14:paraId="247A7E55" w14:textId="77777777" w:rsidR="006C6206" w:rsidRPr="00DD57E3" w:rsidRDefault="006C6206" w:rsidP="006C6206">
            <w:pPr>
              <w:tabs>
                <w:tab w:val="left" w:pos="990"/>
              </w:tabs>
              <w:spacing w:before="120" w:after="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Vehiculele electrice sunt, în general, mai eficiente din punct de vedere energetic decât vehiculele tradiționale cu motor cu ardere internă. Prin înlocuirea vehiculelor alimentate cu combustibili fosili cu vehicule electrice, Republica Moldova poate reduce consumul global de energie în sectorul transporturilor. Acest lucru este deosebit de important având în vedere accentul pus de UE pe reducerea emisiilor de CO2 din sectorul transporturilor, care contribuie semnificativ la emisiile naționale de gaze cu efect de seră.</w:t>
            </w:r>
          </w:p>
          <w:p w14:paraId="0A4D595A" w14:textId="77777777" w:rsidR="006C6206" w:rsidRPr="00DD57E3" w:rsidRDefault="006C6206" w:rsidP="006C6206">
            <w:pPr>
              <w:tabs>
                <w:tab w:val="left" w:pos="990"/>
              </w:tabs>
              <w:spacing w:before="120" w:after="0" w:line="240" w:lineRule="auto"/>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La capitolul alte impacturi, pot fi enumerate beneficiile asociate implementării actului normativ de transpunere a Directivei 2009/33/CE (UE), precum ar fi:</w:t>
            </w:r>
          </w:p>
          <w:p w14:paraId="54697656" w14:textId="77777777" w:rsidR="006C6206" w:rsidRPr="00DD57E3" w:rsidRDefault="006C6206" w:rsidP="005408C6">
            <w:pPr>
              <w:pStyle w:val="a4"/>
              <w:tabs>
                <w:tab w:val="left" w:pos="200"/>
                <w:tab w:val="left" w:pos="360"/>
                <w:tab w:val="left" w:pos="455"/>
              </w:tabs>
              <w:spacing w:after="0" w:line="240" w:lineRule="auto"/>
              <w:ind w:left="1080" w:right="45" w:hanging="360"/>
              <w:jc w:val="both"/>
              <w:rPr>
                <w:rFonts w:cs="Times New Roman"/>
                <w:iCs/>
                <w:szCs w:val="24"/>
                <w:lang w:val="ro-MD"/>
              </w:rPr>
            </w:pPr>
            <w:r w:rsidRPr="00DD57E3">
              <w:rPr>
                <w:rFonts w:cs="Times New Roman"/>
                <w:iCs/>
                <w:szCs w:val="24"/>
                <w:lang w:val="ro-MD"/>
              </w:rPr>
              <w:t>•</w:t>
            </w:r>
            <w:r w:rsidRPr="00DD57E3">
              <w:rPr>
                <w:rFonts w:cs="Times New Roman"/>
                <w:iCs/>
                <w:szCs w:val="24"/>
                <w:lang w:val="ro-MD"/>
              </w:rPr>
              <w:tab/>
              <w:t>sporirea eficienței energetice în domeniul transportului public;</w:t>
            </w:r>
          </w:p>
          <w:p w14:paraId="6CED9443" w14:textId="77777777" w:rsidR="006C6206" w:rsidRPr="00DD57E3" w:rsidRDefault="006C6206" w:rsidP="005408C6">
            <w:pPr>
              <w:pStyle w:val="a4"/>
              <w:tabs>
                <w:tab w:val="left" w:pos="200"/>
                <w:tab w:val="left" w:pos="360"/>
                <w:tab w:val="left" w:pos="455"/>
              </w:tabs>
              <w:spacing w:after="0" w:line="240" w:lineRule="auto"/>
              <w:ind w:left="1080" w:right="45" w:hanging="360"/>
              <w:jc w:val="both"/>
              <w:rPr>
                <w:rFonts w:cs="Times New Roman"/>
                <w:iCs/>
                <w:szCs w:val="24"/>
                <w:lang w:val="ro-MD"/>
              </w:rPr>
            </w:pPr>
            <w:r w:rsidRPr="00DD57E3">
              <w:rPr>
                <w:rFonts w:cs="Times New Roman"/>
                <w:iCs/>
                <w:szCs w:val="24"/>
                <w:lang w:val="ro-MD"/>
              </w:rPr>
              <w:t>•</w:t>
            </w:r>
            <w:r w:rsidRPr="00DD57E3">
              <w:rPr>
                <w:rFonts w:cs="Times New Roman"/>
                <w:iCs/>
                <w:szCs w:val="24"/>
                <w:lang w:val="ro-MD"/>
              </w:rPr>
              <w:tab/>
              <w:t>reducerea consumului de combustibili fosili:</w:t>
            </w:r>
          </w:p>
          <w:p w14:paraId="715DB211" w14:textId="77777777" w:rsidR="006C6206" w:rsidRPr="00DD57E3" w:rsidRDefault="006C6206" w:rsidP="005408C6">
            <w:pPr>
              <w:pStyle w:val="a4"/>
              <w:tabs>
                <w:tab w:val="left" w:pos="200"/>
                <w:tab w:val="left" w:pos="360"/>
                <w:tab w:val="left" w:pos="455"/>
              </w:tabs>
              <w:spacing w:after="0" w:line="240" w:lineRule="auto"/>
              <w:ind w:left="1080" w:right="45" w:hanging="360"/>
              <w:jc w:val="both"/>
              <w:rPr>
                <w:rFonts w:cs="Times New Roman"/>
                <w:iCs/>
                <w:szCs w:val="24"/>
                <w:lang w:val="ro-MD"/>
              </w:rPr>
            </w:pPr>
            <w:r w:rsidRPr="00DD57E3">
              <w:rPr>
                <w:rFonts w:cs="Times New Roman"/>
                <w:iCs/>
                <w:szCs w:val="24"/>
                <w:lang w:val="ro-MD"/>
              </w:rPr>
              <w:t>•</w:t>
            </w:r>
            <w:r w:rsidRPr="00DD57E3">
              <w:rPr>
                <w:rFonts w:cs="Times New Roman"/>
                <w:iCs/>
                <w:szCs w:val="24"/>
                <w:lang w:val="ro-MD"/>
              </w:rPr>
              <w:tab/>
              <w:t>reducerea gazele cu efect de seră și îmbunătățirea calității aerului;</w:t>
            </w:r>
          </w:p>
          <w:p w14:paraId="32852D63" w14:textId="77777777" w:rsidR="006C6206" w:rsidRPr="00DD57E3" w:rsidRDefault="006C6206" w:rsidP="005408C6">
            <w:pPr>
              <w:pStyle w:val="a4"/>
              <w:tabs>
                <w:tab w:val="left" w:pos="200"/>
                <w:tab w:val="left" w:pos="360"/>
                <w:tab w:val="left" w:pos="455"/>
              </w:tabs>
              <w:spacing w:after="0" w:line="240" w:lineRule="auto"/>
              <w:ind w:left="1080" w:right="45" w:hanging="360"/>
              <w:jc w:val="both"/>
              <w:rPr>
                <w:rFonts w:cs="Times New Roman"/>
                <w:iCs/>
                <w:szCs w:val="24"/>
                <w:lang w:val="ro-MD"/>
              </w:rPr>
            </w:pPr>
            <w:r w:rsidRPr="00DD57E3">
              <w:rPr>
                <w:rFonts w:cs="Times New Roman"/>
                <w:iCs/>
                <w:szCs w:val="24"/>
                <w:lang w:val="ro-MD"/>
              </w:rPr>
              <w:t>•</w:t>
            </w:r>
            <w:r w:rsidRPr="00DD57E3">
              <w:rPr>
                <w:rFonts w:cs="Times New Roman"/>
                <w:iCs/>
                <w:szCs w:val="24"/>
                <w:lang w:val="ro-MD"/>
              </w:rPr>
              <w:tab/>
              <w:t>contabilizarea economiilor de energie, care va contribui la atingerea țintelor la nivel de țară și reducerea intensității consumului de energie în transporturi;</w:t>
            </w:r>
          </w:p>
          <w:p w14:paraId="3A2B0881" w14:textId="77777777" w:rsidR="006C6206" w:rsidRPr="00DD57E3" w:rsidRDefault="006C6206" w:rsidP="005408C6">
            <w:pPr>
              <w:pStyle w:val="a4"/>
              <w:tabs>
                <w:tab w:val="left" w:pos="200"/>
                <w:tab w:val="left" w:pos="360"/>
                <w:tab w:val="left" w:pos="455"/>
              </w:tabs>
              <w:spacing w:after="0" w:line="240" w:lineRule="auto"/>
              <w:ind w:left="1080" w:right="45" w:hanging="360"/>
              <w:jc w:val="both"/>
              <w:rPr>
                <w:rFonts w:cs="Times New Roman"/>
                <w:iCs/>
                <w:szCs w:val="24"/>
                <w:lang w:val="ro-MD"/>
              </w:rPr>
            </w:pPr>
            <w:r w:rsidRPr="00DD57E3">
              <w:rPr>
                <w:rFonts w:cs="Times New Roman"/>
                <w:iCs/>
                <w:szCs w:val="24"/>
                <w:lang w:val="ro-MD"/>
              </w:rPr>
              <w:t>•</w:t>
            </w:r>
            <w:r w:rsidRPr="00DD57E3">
              <w:rPr>
                <w:rFonts w:cs="Times New Roman"/>
                <w:iCs/>
                <w:szCs w:val="24"/>
                <w:lang w:val="ro-MD"/>
              </w:rPr>
              <w:tab/>
              <w:t>reducerea dependenței de combustibili fosili și îmbunătățirea securității energetice;</w:t>
            </w:r>
          </w:p>
          <w:p w14:paraId="0280FE24" w14:textId="724348DD" w:rsidR="00BB7993" w:rsidRPr="00DD57E3" w:rsidRDefault="006C6206" w:rsidP="005408C6">
            <w:pPr>
              <w:pStyle w:val="a4"/>
              <w:tabs>
                <w:tab w:val="left" w:pos="200"/>
                <w:tab w:val="left" w:pos="360"/>
                <w:tab w:val="left" w:pos="455"/>
              </w:tabs>
              <w:spacing w:after="0" w:line="240" w:lineRule="auto"/>
              <w:ind w:left="1080" w:right="45" w:hanging="360"/>
              <w:jc w:val="both"/>
              <w:rPr>
                <w:rFonts w:cs="Times New Roman"/>
                <w:szCs w:val="24"/>
                <w:lang w:val="ro-MD"/>
              </w:rPr>
            </w:pPr>
            <w:r w:rsidRPr="00DD57E3">
              <w:rPr>
                <w:rFonts w:cs="Times New Roman"/>
                <w:iCs/>
                <w:szCs w:val="24"/>
                <w:lang w:val="ro-MD"/>
              </w:rPr>
              <w:t>•</w:t>
            </w:r>
            <w:r w:rsidRPr="00DD57E3">
              <w:rPr>
                <w:rFonts w:cs="Times New Roman"/>
                <w:iCs/>
                <w:szCs w:val="24"/>
                <w:lang w:val="ro-MD"/>
              </w:rPr>
              <w:tab/>
              <w:t>stimula utilizarea transportului public și decongestionarea traficului rutier.</w:t>
            </w:r>
          </w:p>
        </w:tc>
      </w:tr>
      <w:tr w:rsidR="00D91B9B" w:rsidRPr="00DD57E3" w14:paraId="7028B4C8" w14:textId="77777777" w:rsidTr="1762F123">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B0292F" w14:textId="2F556B88" w:rsidR="00D91B9B" w:rsidRPr="00DD57E3" w:rsidRDefault="00D91B9B">
            <w:pPr>
              <w:tabs>
                <w:tab w:val="left" w:pos="884"/>
                <w:tab w:val="left" w:pos="1196"/>
              </w:tabs>
              <w:suppressAutoHyphens/>
              <w:spacing w:after="0" w:line="240" w:lineRule="auto"/>
              <w:jc w:val="both"/>
              <w:rPr>
                <w:rFonts w:ascii="Times New Roman" w:eastAsiaTheme="minorEastAsia" w:hAnsi="Times New Roman" w:cs="Times New Roman"/>
                <w:b/>
                <w:sz w:val="24"/>
                <w:szCs w:val="24"/>
                <w:lang w:val="ro-MD" w:eastAsia="ar-SA"/>
              </w:rPr>
            </w:pPr>
            <w:bookmarkStart w:id="14" w:name="_Hlk191386313"/>
            <w:r w:rsidRPr="00DD57E3">
              <w:rPr>
                <w:rFonts w:ascii="Times New Roman" w:eastAsiaTheme="minorEastAsia" w:hAnsi="Times New Roman" w:cs="Times New Roman"/>
                <w:b/>
                <w:sz w:val="24"/>
                <w:szCs w:val="24"/>
                <w:lang w:val="ro-MD" w:eastAsia="ar-SA"/>
              </w:rPr>
              <w:lastRenderedPageBreak/>
              <w:t>5. Compatibilitatea actului normativ cu legisla</w:t>
            </w:r>
            <w:r w:rsidR="00D84F0C" w:rsidRPr="00DD57E3">
              <w:rPr>
                <w:rFonts w:ascii="Times New Roman" w:eastAsiaTheme="minorEastAsia" w:hAnsi="Times New Roman" w:cs="Times New Roman"/>
                <w:b/>
                <w:sz w:val="24"/>
                <w:szCs w:val="24"/>
                <w:lang w:val="ro-MD" w:eastAsia="ar-SA"/>
              </w:rPr>
              <w:t>ț</w:t>
            </w:r>
            <w:r w:rsidRPr="00DD57E3">
              <w:rPr>
                <w:rFonts w:ascii="Times New Roman" w:eastAsiaTheme="minorEastAsia" w:hAnsi="Times New Roman" w:cs="Times New Roman"/>
                <w:b/>
                <w:sz w:val="24"/>
                <w:szCs w:val="24"/>
                <w:lang w:val="ro-MD" w:eastAsia="ar-SA"/>
              </w:rPr>
              <w:t>ia UE</w:t>
            </w:r>
          </w:p>
        </w:tc>
      </w:tr>
      <w:tr w:rsidR="00D91B9B" w:rsidRPr="00DD57E3" w14:paraId="605A9DDE" w14:textId="77777777" w:rsidTr="1762F123">
        <w:trPr>
          <w:trHeight w:val="1415"/>
        </w:trPr>
        <w:tc>
          <w:tcPr>
            <w:tcW w:w="5000" w:type="pct"/>
            <w:tcBorders>
              <w:top w:val="single" w:sz="4" w:space="0" w:color="auto"/>
              <w:left w:val="single" w:sz="4" w:space="0" w:color="auto"/>
              <w:bottom w:val="single" w:sz="4" w:space="0" w:color="auto"/>
              <w:right w:val="single" w:sz="4" w:space="0" w:color="auto"/>
            </w:tcBorders>
          </w:tcPr>
          <w:p w14:paraId="64AC4C26" w14:textId="72CCEEC1" w:rsidR="00D91B9B" w:rsidRPr="00DD57E3" w:rsidRDefault="00D91B9B">
            <w:pPr>
              <w:spacing w:before="60" w:after="0" w:line="240" w:lineRule="auto"/>
              <w:jc w:val="both"/>
              <w:rPr>
                <w:rFonts w:ascii="Times New Roman" w:eastAsia="Times New Roman" w:hAnsi="Times New Roman" w:cs="Times New Roman"/>
                <w:b/>
                <w:i/>
                <w:sz w:val="24"/>
                <w:szCs w:val="24"/>
                <w:lang w:val="ro-MD" w:eastAsia="ru-RU"/>
              </w:rPr>
            </w:pPr>
            <w:bookmarkStart w:id="15" w:name="_Hlk191386352"/>
            <w:bookmarkEnd w:id="14"/>
            <w:r w:rsidRPr="00DD57E3">
              <w:rPr>
                <w:rFonts w:ascii="Times New Roman" w:eastAsia="Times New Roman" w:hAnsi="Times New Roman" w:cs="Times New Roman"/>
                <w:b/>
                <w:i/>
                <w:sz w:val="24"/>
                <w:szCs w:val="24"/>
                <w:lang w:val="ro-MD" w:eastAsia="ru-RU"/>
              </w:rPr>
              <w:t>5.1. Măsuri normative necesare pentru transpunerea actelor juridice ale UE în legisla</w:t>
            </w:r>
            <w:r w:rsidR="00D84F0C" w:rsidRPr="00DD57E3">
              <w:rPr>
                <w:rFonts w:ascii="Times New Roman" w:eastAsia="Times New Roman" w:hAnsi="Times New Roman" w:cs="Times New Roman"/>
                <w:b/>
                <w:i/>
                <w:sz w:val="24"/>
                <w:szCs w:val="24"/>
                <w:lang w:val="ro-MD" w:eastAsia="ru-RU"/>
              </w:rPr>
              <w:t>ț</w:t>
            </w:r>
            <w:r w:rsidRPr="00DD57E3">
              <w:rPr>
                <w:rFonts w:ascii="Times New Roman" w:eastAsia="Times New Roman" w:hAnsi="Times New Roman" w:cs="Times New Roman"/>
                <w:b/>
                <w:i/>
                <w:sz w:val="24"/>
                <w:szCs w:val="24"/>
                <w:lang w:val="ro-MD" w:eastAsia="ru-RU"/>
              </w:rPr>
              <w:t>ia na</w:t>
            </w:r>
            <w:r w:rsidR="00D84F0C" w:rsidRPr="00DD57E3">
              <w:rPr>
                <w:rFonts w:ascii="Times New Roman" w:eastAsia="Times New Roman" w:hAnsi="Times New Roman" w:cs="Times New Roman"/>
                <w:b/>
                <w:i/>
                <w:sz w:val="24"/>
                <w:szCs w:val="24"/>
                <w:lang w:val="ro-MD" w:eastAsia="ru-RU"/>
              </w:rPr>
              <w:t>ț</w:t>
            </w:r>
            <w:r w:rsidRPr="00DD57E3">
              <w:rPr>
                <w:rFonts w:ascii="Times New Roman" w:eastAsia="Times New Roman" w:hAnsi="Times New Roman" w:cs="Times New Roman"/>
                <w:b/>
                <w:i/>
                <w:sz w:val="24"/>
                <w:szCs w:val="24"/>
                <w:lang w:val="ro-MD" w:eastAsia="ru-RU"/>
              </w:rPr>
              <w:t>ională</w:t>
            </w:r>
          </w:p>
          <w:bookmarkEnd w:id="15"/>
          <w:p w14:paraId="40F2326F" w14:textId="3CD800F2" w:rsidR="00D91B9B" w:rsidRPr="00DD57E3" w:rsidRDefault="00D91B9B">
            <w:pPr>
              <w:spacing w:before="120" w:after="120" w:line="240" w:lineRule="auto"/>
              <w:jc w:val="both"/>
              <w:rPr>
                <w:rFonts w:ascii="Times New Roman" w:eastAsia="Times New Roman" w:hAnsi="Times New Roman" w:cs="Times New Roman"/>
                <w:bCs/>
                <w:sz w:val="24"/>
                <w:szCs w:val="24"/>
                <w:lang w:val="ro-MD"/>
              </w:rPr>
            </w:pPr>
            <w:r w:rsidRPr="00DD57E3">
              <w:rPr>
                <w:rFonts w:ascii="Times New Roman" w:eastAsia="Times New Roman" w:hAnsi="Times New Roman" w:cs="Times New Roman"/>
                <w:bCs/>
                <w:sz w:val="24"/>
                <w:szCs w:val="24"/>
                <w:lang w:val="ro-MD"/>
              </w:rPr>
              <w:t xml:space="preserve">Prin prezentul proiect de lege se asigură transpunerea prevederilor Directivei 2009/33/CE privind promovarea vehiculelor de transport rutier nepoluante </w:t>
            </w:r>
            <w:r w:rsidR="00D84F0C" w:rsidRPr="00DD57E3">
              <w:rPr>
                <w:rFonts w:ascii="Times New Roman" w:eastAsia="Times New Roman" w:hAnsi="Times New Roman" w:cs="Times New Roman"/>
                <w:bCs/>
                <w:sz w:val="24"/>
                <w:szCs w:val="24"/>
                <w:lang w:val="ro-MD"/>
              </w:rPr>
              <w:t>ș</w:t>
            </w:r>
            <w:r w:rsidRPr="00DD57E3">
              <w:rPr>
                <w:rFonts w:ascii="Times New Roman" w:eastAsia="Times New Roman" w:hAnsi="Times New Roman" w:cs="Times New Roman"/>
                <w:bCs/>
                <w:sz w:val="24"/>
                <w:szCs w:val="24"/>
                <w:lang w:val="ro-MD"/>
              </w:rPr>
              <w:t xml:space="preserve">i eficiente din punct de vedere energetic, publicată în Jurnalul Oficial al Uniunii Europene nr. L 188 din 12.07.2019, cu modificările ulterioare operate prin Directiva (UE) 2019/1161 a Parlamentului European </w:t>
            </w:r>
            <w:r w:rsidR="00D84F0C" w:rsidRPr="00DD57E3">
              <w:rPr>
                <w:rFonts w:ascii="Times New Roman" w:eastAsia="Times New Roman" w:hAnsi="Times New Roman" w:cs="Times New Roman"/>
                <w:bCs/>
                <w:sz w:val="24"/>
                <w:szCs w:val="24"/>
                <w:lang w:val="ro-MD"/>
              </w:rPr>
              <w:t>ș</w:t>
            </w:r>
            <w:r w:rsidRPr="00DD57E3">
              <w:rPr>
                <w:rFonts w:ascii="Times New Roman" w:eastAsia="Times New Roman" w:hAnsi="Times New Roman" w:cs="Times New Roman"/>
                <w:bCs/>
                <w:sz w:val="24"/>
                <w:szCs w:val="24"/>
                <w:lang w:val="ro-MD"/>
              </w:rPr>
              <w:t xml:space="preserve">i a Consiliului din 20 iunie 2019.  </w:t>
            </w:r>
          </w:p>
          <w:p w14:paraId="2685A3FE" w14:textId="63B11095" w:rsidR="00D91B9B" w:rsidRPr="00DD57E3" w:rsidRDefault="00D91B9B">
            <w:pPr>
              <w:spacing w:before="120" w:after="120" w:line="240" w:lineRule="auto"/>
              <w:jc w:val="both"/>
              <w:rPr>
                <w:rFonts w:ascii="Times New Roman" w:hAnsi="Times New Roman" w:cs="Times New Roman"/>
                <w:sz w:val="24"/>
                <w:szCs w:val="28"/>
                <w:lang w:val="ro-MD"/>
              </w:rPr>
            </w:pPr>
            <w:r w:rsidRPr="00DD57E3">
              <w:rPr>
                <w:rFonts w:ascii="Times New Roman" w:hAnsi="Times New Roman" w:cs="Times New Roman"/>
                <w:sz w:val="24"/>
                <w:szCs w:val="28"/>
                <w:lang w:val="ro-MD"/>
              </w:rPr>
              <w:t>Proiectul de lege respectă prevederile legisla</w:t>
            </w:r>
            <w:r w:rsidR="00D84F0C" w:rsidRPr="00DD57E3">
              <w:rPr>
                <w:rFonts w:ascii="Times New Roman" w:hAnsi="Times New Roman" w:cs="Times New Roman"/>
                <w:sz w:val="24"/>
                <w:szCs w:val="28"/>
                <w:lang w:val="ro-MD"/>
              </w:rPr>
              <w:t>ț</w:t>
            </w:r>
            <w:r w:rsidRPr="00DD57E3">
              <w:rPr>
                <w:rFonts w:ascii="Times New Roman" w:hAnsi="Times New Roman" w:cs="Times New Roman"/>
                <w:sz w:val="24"/>
                <w:szCs w:val="28"/>
                <w:lang w:val="ro-MD"/>
              </w:rPr>
              <w:t>iei na</w:t>
            </w:r>
            <w:r w:rsidR="00D84F0C" w:rsidRPr="00DD57E3">
              <w:rPr>
                <w:rFonts w:ascii="Times New Roman" w:hAnsi="Times New Roman" w:cs="Times New Roman"/>
                <w:sz w:val="24"/>
                <w:szCs w:val="28"/>
                <w:lang w:val="ro-MD"/>
              </w:rPr>
              <w:t>ț</w:t>
            </w:r>
            <w:r w:rsidRPr="00DD57E3">
              <w:rPr>
                <w:rFonts w:ascii="Times New Roman" w:hAnsi="Times New Roman" w:cs="Times New Roman"/>
                <w:sz w:val="24"/>
                <w:szCs w:val="28"/>
                <w:lang w:val="ro-MD"/>
              </w:rPr>
              <w:t xml:space="preserve">ionale </w:t>
            </w:r>
            <w:r w:rsidR="00D84F0C" w:rsidRPr="00DD57E3">
              <w:rPr>
                <w:rFonts w:ascii="Times New Roman" w:hAnsi="Times New Roman" w:cs="Times New Roman"/>
                <w:sz w:val="24"/>
                <w:szCs w:val="28"/>
                <w:lang w:val="ro-MD"/>
              </w:rPr>
              <w:t>ș</w:t>
            </w:r>
            <w:r w:rsidRPr="00DD57E3">
              <w:rPr>
                <w:rFonts w:ascii="Times New Roman" w:hAnsi="Times New Roman" w:cs="Times New Roman"/>
                <w:sz w:val="24"/>
                <w:szCs w:val="28"/>
                <w:lang w:val="ro-MD"/>
              </w:rPr>
              <w:t>i nu intră în contradic</w:t>
            </w:r>
            <w:r w:rsidR="00D84F0C" w:rsidRPr="00DD57E3">
              <w:rPr>
                <w:rFonts w:ascii="Times New Roman" w:hAnsi="Times New Roman" w:cs="Times New Roman"/>
                <w:sz w:val="24"/>
                <w:szCs w:val="28"/>
                <w:lang w:val="ro-MD"/>
              </w:rPr>
              <w:t>ț</w:t>
            </w:r>
            <w:r w:rsidRPr="00DD57E3">
              <w:rPr>
                <w:rFonts w:ascii="Times New Roman" w:hAnsi="Times New Roman" w:cs="Times New Roman"/>
                <w:sz w:val="24"/>
                <w:szCs w:val="28"/>
                <w:lang w:val="ro-MD"/>
              </w:rPr>
              <w:t>ie cu prevederile legisla</w:t>
            </w:r>
            <w:r w:rsidR="00D84F0C" w:rsidRPr="00DD57E3">
              <w:rPr>
                <w:rFonts w:ascii="Times New Roman" w:hAnsi="Times New Roman" w:cs="Times New Roman"/>
                <w:sz w:val="24"/>
                <w:szCs w:val="28"/>
                <w:lang w:val="ro-MD"/>
              </w:rPr>
              <w:t>ț</w:t>
            </w:r>
            <w:r w:rsidRPr="00DD57E3">
              <w:rPr>
                <w:rFonts w:ascii="Times New Roman" w:hAnsi="Times New Roman" w:cs="Times New Roman"/>
                <w:sz w:val="24"/>
                <w:szCs w:val="28"/>
                <w:lang w:val="ro-MD"/>
              </w:rPr>
              <w:t>iei UE, dimpotrivă aliniază obiectivele na</w:t>
            </w:r>
            <w:r w:rsidR="00D84F0C" w:rsidRPr="00DD57E3">
              <w:rPr>
                <w:rFonts w:ascii="Times New Roman" w:hAnsi="Times New Roman" w:cs="Times New Roman"/>
                <w:sz w:val="24"/>
                <w:szCs w:val="28"/>
                <w:lang w:val="ro-MD"/>
              </w:rPr>
              <w:t>ț</w:t>
            </w:r>
            <w:r w:rsidRPr="00DD57E3">
              <w:rPr>
                <w:rFonts w:ascii="Times New Roman" w:hAnsi="Times New Roman" w:cs="Times New Roman"/>
                <w:sz w:val="24"/>
                <w:szCs w:val="28"/>
                <w:lang w:val="ro-MD"/>
              </w:rPr>
              <w:t>ionale la ini</w:t>
            </w:r>
            <w:r w:rsidR="00D84F0C" w:rsidRPr="00DD57E3">
              <w:rPr>
                <w:rFonts w:ascii="Times New Roman" w:hAnsi="Times New Roman" w:cs="Times New Roman"/>
                <w:sz w:val="24"/>
                <w:szCs w:val="28"/>
                <w:lang w:val="ro-MD"/>
              </w:rPr>
              <w:t>ț</w:t>
            </w:r>
            <w:r w:rsidRPr="00DD57E3">
              <w:rPr>
                <w:rFonts w:ascii="Times New Roman" w:hAnsi="Times New Roman" w:cs="Times New Roman"/>
                <w:sz w:val="24"/>
                <w:szCs w:val="28"/>
                <w:lang w:val="ro-MD"/>
              </w:rPr>
              <w:t xml:space="preserve">iativele strategice ale Uniunii Europene, precum Pactul verde european </w:t>
            </w:r>
            <w:r w:rsidR="00D84F0C" w:rsidRPr="00DD57E3">
              <w:rPr>
                <w:rFonts w:ascii="Times New Roman" w:hAnsi="Times New Roman" w:cs="Times New Roman"/>
                <w:sz w:val="24"/>
                <w:szCs w:val="28"/>
                <w:lang w:val="ro-MD"/>
              </w:rPr>
              <w:t>ș</w:t>
            </w:r>
            <w:r w:rsidRPr="00DD57E3">
              <w:rPr>
                <w:rFonts w:ascii="Times New Roman" w:hAnsi="Times New Roman" w:cs="Times New Roman"/>
                <w:sz w:val="24"/>
                <w:szCs w:val="28"/>
                <w:lang w:val="ro-MD"/>
              </w:rPr>
              <w:t xml:space="preserve">i </w:t>
            </w:r>
            <w:r w:rsidRPr="00DD57E3">
              <w:rPr>
                <w:rFonts w:ascii="Times New Roman" w:eastAsia="Times New Roman" w:hAnsi="Times New Roman" w:cs="Times New Roman"/>
                <w:bCs/>
                <w:sz w:val="24"/>
                <w:szCs w:val="24"/>
                <w:lang w:val="ro-MD"/>
              </w:rPr>
              <w:t xml:space="preserve">Strategia pentru o mobilitate sustenabilă </w:t>
            </w:r>
            <w:r w:rsidR="00D84F0C" w:rsidRPr="00DD57E3">
              <w:rPr>
                <w:rFonts w:ascii="Times New Roman" w:eastAsia="Times New Roman" w:hAnsi="Times New Roman" w:cs="Times New Roman"/>
                <w:bCs/>
                <w:sz w:val="24"/>
                <w:szCs w:val="24"/>
                <w:lang w:val="ro-MD"/>
              </w:rPr>
              <w:t>ș</w:t>
            </w:r>
            <w:r w:rsidRPr="00DD57E3">
              <w:rPr>
                <w:rFonts w:ascii="Times New Roman" w:eastAsia="Times New Roman" w:hAnsi="Times New Roman" w:cs="Times New Roman"/>
                <w:bCs/>
                <w:sz w:val="24"/>
                <w:szCs w:val="24"/>
                <w:lang w:val="ro-MD"/>
              </w:rPr>
              <w:t>i inteligentă</w:t>
            </w:r>
            <w:r w:rsidRPr="00DD57E3">
              <w:rPr>
                <w:rStyle w:val="ac"/>
                <w:rFonts w:ascii="Times New Roman" w:eastAsia="Times New Roman" w:hAnsi="Times New Roman" w:cs="Times New Roman"/>
                <w:bCs/>
                <w:sz w:val="24"/>
                <w:szCs w:val="24"/>
                <w:lang w:val="ro-MD"/>
              </w:rPr>
              <w:footnoteReference w:id="22"/>
            </w:r>
            <w:r w:rsidRPr="00DD57E3">
              <w:rPr>
                <w:rFonts w:ascii="Times New Roman" w:hAnsi="Times New Roman" w:cs="Times New Roman"/>
                <w:sz w:val="24"/>
                <w:szCs w:val="28"/>
                <w:lang w:val="ro-MD"/>
              </w:rPr>
              <w:t>, care recunosc importan</w:t>
            </w:r>
            <w:r w:rsidR="00D84F0C" w:rsidRPr="00DD57E3">
              <w:rPr>
                <w:rFonts w:ascii="Times New Roman" w:hAnsi="Times New Roman" w:cs="Times New Roman"/>
                <w:sz w:val="24"/>
                <w:szCs w:val="28"/>
                <w:lang w:val="ro-MD"/>
              </w:rPr>
              <w:t>ț</w:t>
            </w:r>
            <w:r w:rsidRPr="00DD57E3">
              <w:rPr>
                <w:rFonts w:ascii="Times New Roman" w:hAnsi="Times New Roman" w:cs="Times New Roman"/>
                <w:sz w:val="24"/>
                <w:szCs w:val="28"/>
                <w:lang w:val="ro-MD"/>
              </w:rPr>
              <w:t>a tranzi</w:t>
            </w:r>
            <w:r w:rsidR="00D84F0C" w:rsidRPr="00DD57E3">
              <w:rPr>
                <w:rFonts w:ascii="Times New Roman" w:hAnsi="Times New Roman" w:cs="Times New Roman"/>
                <w:sz w:val="24"/>
                <w:szCs w:val="28"/>
                <w:lang w:val="ro-MD"/>
              </w:rPr>
              <w:t>ț</w:t>
            </w:r>
            <w:r w:rsidRPr="00DD57E3">
              <w:rPr>
                <w:rFonts w:ascii="Times New Roman" w:hAnsi="Times New Roman" w:cs="Times New Roman"/>
                <w:sz w:val="24"/>
                <w:szCs w:val="28"/>
                <w:lang w:val="ro-MD"/>
              </w:rPr>
              <w:t>iei ecologice pentru cre</w:t>
            </w:r>
            <w:r w:rsidR="00D84F0C" w:rsidRPr="00DD57E3">
              <w:rPr>
                <w:rFonts w:ascii="Times New Roman" w:hAnsi="Times New Roman" w:cs="Times New Roman"/>
                <w:sz w:val="24"/>
                <w:szCs w:val="28"/>
                <w:lang w:val="ro-MD"/>
              </w:rPr>
              <w:t>ș</w:t>
            </w:r>
            <w:r w:rsidRPr="00DD57E3">
              <w:rPr>
                <w:rFonts w:ascii="Times New Roman" w:hAnsi="Times New Roman" w:cs="Times New Roman"/>
                <w:sz w:val="24"/>
                <w:szCs w:val="28"/>
                <w:lang w:val="ro-MD"/>
              </w:rPr>
              <w:t>terea sectorului transporturilor.</w:t>
            </w:r>
          </w:p>
          <w:p w14:paraId="6FF10EAD" w14:textId="1E54A694" w:rsidR="00D91B9B" w:rsidRPr="00DD57E3" w:rsidRDefault="00D91B9B">
            <w:pPr>
              <w:spacing w:after="0" w:line="240" w:lineRule="auto"/>
              <w:jc w:val="both"/>
              <w:rPr>
                <w:rFonts w:ascii="Times New Roman" w:eastAsia="Times New Roman" w:hAnsi="Times New Roman" w:cs="Times New Roman"/>
                <w:b/>
                <w:bCs/>
                <w:i/>
                <w:sz w:val="24"/>
                <w:szCs w:val="24"/>
                <w:lang w:val="ro-MD"/>
              </w:rPr>
            </w:pPr>
            <w:bookmarkStart w:id="16" w:name="_Hlk191386361"/>
            <w:r w:rsidRPr="00DD57E3">
              <w:rPr>
                <w:rFonts w:ascii="Times New Roman" w:eastAsia="Times New Roman" w:hAnsi="Times New Roman" w:cs="Times New Roman"/>
                <w:b/>
                <w:bCs/>
                <w:i/>
                <w:sz w:val="24"/>
                <w:szCs w:val="24"/>
                <w:lang w:val="ro-MD"/>
              </w:rPr>
              <w:t>5.2. Măsuri normative care urmăresc crearea cadrului juridic intern necesar pentru implementarea legisla</w:t>
            </w:r>
            <w:r w:rsidR="00D84F0C" w:rsidRPr="00DD57E3">
              <w:rPr>
                <w:rFonts w:ascii="Times New Roman" w:eastAsia="Times New Roman" w:hAnsi="Times New Roman" w:cs="Times New Roman"/>
                <w:b/>
                <w:bCs/>
                <w:i/>
                <w:sz w:val="24"/>
                <w:szCs w:val="24"/>
                <w:lang w:val="ro-MD"/>
              </w:rPr>
              <w:t>ț</w:t>
            </w:r>
            <w:r w:rsidRPr="00DD57E3">
              <w:rPr>
                <w:rFonts w:ascii="Times New Roman" w:eastAsia="Times New Roman" w:hAnsi="Times New Roman" w:cs="Times New Roman"/>
                <w:b/>
                <w:bCs/>
                <w:i/>
                <w:sz w:val="24"/>
                <w:szCs w:val="24"/>
                <w:lang w:val="ro-MD"/>
              </w:rPr>
              <w:t>iei UE</w:t>
            </w:r>
          </w:p>
          <w:bookmarkEnd w:id="16"/>
          <w:p w14:paraId="0DCD0706" w14:textId="300215E7" w:rsidR="00D91B9B" w:rsidRPr="00DD57E3" w:rsidRDefault="00D91B9B">
            <w:pPr>
              <w:spacing w:before="120" w:after="0" w:line="240" w:lineRule="auto"/>
              <w:jc w:val="both"/>
              <w:rPr>
                <w:rFonts w:ascii="Times New Roman" w:eastAsia="Times New Roman" w:hAnsi="Times New Roman" w:cs="Times New Roman"/>
                <w:iCs/>
                <w:sz w:val="24"/>
                <w:szCs w:val="24"/>
                <w:lang w:val="ro-MD"/>
              </w:rPr>
            </w:pPr>
            <w:r w:rsidRPr="00DD57E3">
              <w:rPr>
                <w:rFonts w:ascii="Times New Roman" w:eastAsia="Times New Roman" w:hAnsi="Times New Roman" w:cs="Times New Roman"/>
                <w:iCs/>
                <w:sz w:val="24"/>
                <w:szCs w:val="24"/>
                <w:lang w:val="ro-MD"/>
              </w:rPr>
              <w:t>Prin prezentul proiect se reglementează cerin</w:t>
            </w:r>
            <w:r w:rsidR="00D84F0C" w:rsidRPr="00DD57E3">
              <w:rPr>
                <w:rFonts w:ascii="Times New Roman" w:eastAsia="Times New Roman" w:hAnsi="Times New Roman" w:cs="Times New Roman"/>
                <w:iCs/>
                <w:sz w:val="24"/>
                <w:szCs w:val="24"/>
                <w:lang w:val="ro-MD"/>
              </w:rPr>
              <w:t>ț</w:t>
            </w:r>
            <w:r w:rsidRPr="00DD57E3">
              <w:rPr>
                <w:rFonts w:ascii="Times New Roman" w:eastAsia="Times New Roman" w:hAnsi="Times New Roman" w:cs="Times New Roman"/>
                <w:iCs/>
                <w:sz w:val="24"/>
                <w:szCs w:val="24"/>
                <w:lang w:val="ro-MD"/>
              </w:rPr>
              <w:t>e noi privind domeniul de referin</w:t>
            </w:r>
            <w:r w:rsidR="00D84F0C" w:rsidRPr="00DD57E3">
              <w:rPr>
                <w:rFonts w:ascii="Times New Roman" w:eastAsia="Times New Roman" w:hAnsi="Times New Roman" w:cs="Times New Roman"/>
                <w:iCs/>
                <w:sz w:val="24"/>
                <w:szCs w:val="24"/>
                <w:lang w:val="ro-MD"/>
              </w:rPr>
              <w:t>ț</w:t>
            </w:r>
            <w:r w:rsidRPr="00DD57E3">
              <w:rPr>
                <w:rFonts w:ascii="Times New Roman" w:eastAsia="Times New Roman" w:hAnsi="Times New Roman" w:cs="Times New Roman"/>
                <w:iCs/>
                <w:sz w:val="24"/>
                <w:szCs w:val="24"/>
                <w:lang w:val="ro-MD"/>
              </w:rPr>
              <w:t xml:space="preserve">ă, ceea ce necesită amendarea cadrului legislativ conex pentru </w:t>
            </w:r>
            <w:r w:rsidRPr="00DD57E3">
              <w:rPr>
                <w:rFonts w:ascii="Times New Roman" w:eastAsiaTheme="minorEastAsia" w:hAnsi="Times New Roman" w:cs="Times New Roman"/>
                <w:sz w:val="24"/>
                <w:szCs w:val="24"/>
                <w:lang w:val="ro-MD" w:eastAsia="ar-SA"/>
              </w:rPr>
              <w:t>adaptarea la dispozi</w:t>
            </w:r>
            <w:r w:rsidR="00D84F0C" w:rsidRPr="00DD57E3">
              <w:rPr>
                <w:rFonts w:ascii="Times New Roman" w:eastAsiaTheme="minorEastAsia" w:hAnsi="Times New Roman" w:cs="Times New Roman"/>
                <w:sz w:val="24"/>
                <w:szCs w:val="24"/>
                <w:lang w:val="ro-MD" w:eastAsia="ar-SA"/>
              </w:rPr>
              <w:t>ț</w:t>
            </w:r>
            <w:r w:rsidRPr="00DD57E3">
              <w:rPr>
                <w:rFonts w:ascii="Times New Roman" w:eastAsiaTheme="minorEastAsia" w:hAnsi="Times New Roman" w:cs="Times New Roman"/>
                <w:sz w:val="24"/>
                <w:szCs w:val="24"/>
                <w:lang w:val="ro-MD" w:eastAsia="ar-SA"/>
              </w:rPr>
              <w:t xml:space="preserve">iile Directivei privind vehiculele curate </w:t>
            </w:r>
            <w:r w:rsidR="00D84F0C" w:rsidRPr="00DD57E3">
              <w:rPr>
                <w:rFonts w:ascii="Times New Roman" w:eastAsiaTheme="minorEastAsia" w:hAnsi="Times New Roman" w:cs="Times New Roman"/>
                <w:sz w:val="24"/>
                <w:szCs w:val="24"/>
                <w:lang w:val="ro-MD" w:eastAsia="ar-SA"/>
              </w:rPr>
              <w:t>ș</w:t>
            </w:r>
            <w:r w:rsidRPr="00DD57E3">
              <w:rPr>
                <w:rFonts w:ascii="Times New Roman" w:eastAsiaTheme="minorEastAsia" w:hAnsi="Times New Roman" w:cs="Times New Roman"/>
                <w:sz w:val="24"/>
                <w:szCs w:val="24"/>
                <w:lang w:val="ro-MD" w:eastAsia="ar-SA"/>
              </w:rPr>
              <w:t>i anume:</w:t>
            </w:r>
          </w:p>
          <w:p w14:paraId="0D93348B" w14:textId="7041ABCD" w:rsidR="00D91B9B" w:rsidRPr="00DD57E3" w:rsidRDefault="00D91B9B" w:rsidP="00D91B9B">
            <w:pPr>
              <w:numPr>
                <w:ilvl w:val="0"/>
                <w:numId w:val="3"/>
              </w:numPr>
              <w:tabs>
                <w:tab w:val="left" w:pos="884"/>
                <w:tab w:val="left" w:pos="1196"/>
              </w:tabs>
              <w:suppressAutoHyphens/>
              <w:spacing w:after="0" w:line="240" w:lineRule="auto"/>
              <w:jc w:val="both"/>
              <w:rPr>
                <w:rFonts w:ascii="Times New Roman" w:eastAsiaTheme="minorEastAsia" w:hAnsi="Times New Roman" w:cs="Times New Roman"/>
                <w:sz w:val="24"/>
                <w:szCs w:val="24"/>
                <w:lang w:val="ro-MD" w:eastAsia="ar-SA"/>
              </w:rPr>
            </w:pPr>
            <w:r w:rsidRPr="00DD57E3">
              <w:rPr>
                <w:rFonts w:ascii="Times New Roman" w:eastAsiaTheme="minorEastAsia" w:hAnsi="Times New Roman" w:cs="Times New Roman"/>
                <w:sz w:val="24"/>
                <w:szCs w:val="24"/>
                <w:lang w:val="ro-MD" w:eastAsia="ar-SA"/>
              </w:rPr>
              <w:t>ajustarea procedurilor de achizi</w:t>
            </w:r>
            <w:r w:rsidR="00D84F0C" w:rsidRPr="00DD57E3">
              <w:rPr>
                <w:rFonts w:ascii="Times New Roman" w:eastAsiaTheme="minorEastAsia" w:hAnsi="Times New Roman" w:cs="Times New Roman"/>
                <w:sz w:val="24"/>
                <w:szCs w:val="24"/>
                <w:lang w:val="ro-MD" w:eastAsia="ar-SA"/>
              </w:rPr>
              <w:t>ț</w:t>
            </w:r>
            <w:r w:rsidRPr="00DD57E3">
              <w:rPr>
                <w:rFonts w:ascii="Times New Roman" w:eastAsiaTheme="minorEastAsia" w:hAnsi="Times New Roman" w:cs="Times New Roman"/>
                <w:sz w:val="24"/>
                <w:szCs w:val="24"/>
                <w:lang w:val="ro-MD" w:eastAsia="ar-SA"/>
              </w:rPr>
              <w:t xml:space="preserve">iei reglementate de Legea </w:t>
            </w:r>
            <w:r w:rsidRPr="00DD57E3">
              <w:rPr>
                <w:rFonts w:ascii="Times New Roman" w:eastAsiaTheme="minorEastAsia" w:hAnsi="Times New Roman" w:cs="Times New Roman"/>
                <w:iCs/>
                <w:sz w:val="24"/>
                <w:szCs w:val="24"/>
                <w:lang w:val="ro-MD" w:eastAsia="ar-SA"/>
              </w:rPr>
              <w:t>nr. 74/2020 privind achizi</w:t>
            </w:r>
            <w:r w:rsidR="00D84F0C" w:rsidRPr="00DD57E3">
              <w:rPr>
                <w:rFonts w:ascii="Times New Roman" w:eastAsiaTheme="minorEastAsia" w:hAnsi="Times New Roman" w:cs="Times New Roman"/>
                <w:iCs/>
                <w:sz w:val="24"/>
                <w:szCs w:val="24"/>
                <w:lang w:val="ro-MD" w:eastAsia="ar-SA"/>
              </w:rPr>
              <w:t>ț</w:t>
            </w:r>
            <w:r w:rsidRPr="00DD57E3">
              <w:rPr>
                <w:rFonts w:ascii="Times New Roman" w:eastAsiaTheme="minorEastAsia" w:hAnsi="Times New Roman" w:cs="Times New Roman"/>
                <w:iCs/>
                <w:sz w:val="24"/>
                <w:szCs w:val="24"/>
                <w:lang w:val="ro-MD" w:eastAsia="ar-SA"/>
              </w:rPr>
              <w:t xml:space="preserve">iile în sectoarele energeticii, apei, transporturilor </w:t>
            </w:r>
            <w:r w:rsidR="00D84F0C" w:rsidRPr="00DD57E3">
              <w:rPr>
                <w:rFonts w:ascii="Times New Roman" w:eastAsiaTheme="minorEastAsia" w:hAnsi="Times New Roman" w:cs="Times New Roman"/>
                <w:iCs/>
                <w:sz w:val="24"/>
                <w:szCs w:val="24"/>
                <w:lang w:val="ro-MD" w:eastAsia="ar-SA"/>
              </w:rPr>
              <w:t>ș</w:t>
            </w:r>
            <w:r w:rsidRPr="00DD57E3">
              <w:rPr>
                <w:rFonts w:ascii="Times New Roman" w:eastAsiaTheme="minorEastAsia" w:hAnsi="Times New Roman" w:cs="Times New Roman"/>
                <w:iCs/>
                <w:sz w:val="24"/>
                <w:szCs w:val="24"/>
                <w:lang w:val="ro-MD" w:eastAsia="ar-SA"/>
              </w:rPr>
              <w:t>i serviciilor po</w:t>
            </w:r>
            <w:r w:rsidR="00D84F0C" w:rsidRPr="00DD57E3">
              <w:rPr>
                <w:rFonts w:ascii="Times New Roman" w:eastAsiaTheme="minorEastAsia" w:hAnsi="Times New Roman" w:cs="Times New Roman"/>
                <w:iCs/>
                <w:sz w:val="24"/>
                <w:szCs w:val="24"/>
                <w:lang w:val="ro-MD" w:eastAsia="ar-SA"/>
              </w:rPr>
              <w:t>ș</w:t>
            </w:r>
            <w:r w:rsidRPr="00DD57E3">
              <w:rPr>
                <w:rFonts w:ascii="Times New Roman" w:eastAsiaTheme="minorEastAsia" w:hAnsi="Times New Roman" w:cs="Times New Roman"/>
                <w:iCs/>
                <w:sz w:val="24"/>
                <w:szCs w:val="24"/>
                <w:lang w:val="ro-MD" w:eastAsia="ar-SA"/>
              </w:rPr>
              <w:t xml:space="preserve">tale </w:t>
            </w:r>
            <w:r w:rsidR="00D84F0C" w:rsidRPr="00DD57E3">
              <w:rPr>
                <w:rFonts w:ascii="Times New Roman" w:eastAsiaTheme="minorEastAsia" w:hAnsi="Times New Roman" w:cs="Times New Roman"/>
                <w:iCs/>
                <w:sz w:val="24"/>
                <w:szCs w:val="24"/>
                <w:lang w:val="ro-MD" w:eastAsia="ar-SA"/>
              </w:rPr>
              <w:t>ș</w:t>
            </w:r>
            <w:r w:rsidRPr="00DD57E3">
              <w:rPr>
                <w:rFonts w:ascii="Times New Roman" w:eastAsiaTheme="minorEastAsia" w:hAnsi="Times New Roman" w:cs="Times New Roman"/>
                <w:iCs/>
                <w:sz w:val="24"/>
                <w:szCs w:val="24"/>
                <w:lang w:val="ro-MD" w:eastAsia="ar-SA"/>
              </w:rPr>
              <w:t>i Legii nr. 131/2015 privind achizi</w:t>
            </w:r>
            <w:r w:rsidR="00D84F0C" w:rsidRPr="00DD57E3">
              <w:rPr>
                <w:rFonts w:ascii="Times New Roman" w:eastAsiaTheme="minorEastAsia" w:hAnsi="Times New Roman" w:cs="Times New Roman"/>
                <w:iCs/>
                <w:sz w:val="24"/>
                <w:szCs w:val="24"/>
                <w:lang w:val="ro-MD" w:eastAsia="ar-SA"/>
              </w:rPr>
              <w:t>ț</w:t>
            </w:r>
            <w:r w:rsidRPr="00DD57E3">
              <w:rPr>
                <w:rFonts w:ascii="Times New Roman" w:eastAsiaTheme="minorEastAsia" w:hAnsi="Times New Roman" w:cs="Times New Roman"/>
                <w:iCs/>
                <w:sz w:val="24"/>
                <w:szCs w:val="24"/>
                <w:lang w:val="ro-MD" w:eastAsia="ar-SA"/>
              </w:rPr>
              <w:t>iile publice, cu instituirea achizi</w:t>
            </w:r>
            <w:r w:rsidR="00D84F0C" w:rsidRPr="00DD57E3">
              <w:rPr>
                <w:rFonts w:ascii="Times New Roman" w:eastAsiaTheme="minorEastAsia" w:hAnsi="Times New Roman" w:cs="Times New Roman"/>
                <w:iCs/>
                <w:sz w:val="24"/>
                <w:szCs w:val="24"/>
                <w:lang w:val="ro-MD" w:eastAsia="ar-SA"/>
              </w:rPr>
              <w:t>ț</w:t>
            </w:r>
            <w:r w:rsidRPr="00DD57E3">
              <w:rPr>
                <w:rFonts w:ascii="Times New Roman" w:eastAsiaTheme="minorEastAsia" w:hAnsi="Times New Roman" w:cs="Times New Roman"/>
                <w:iCs/>
                <w:sz w:val="24"/>
                <w:szCs w:val="24"/>
                <w:lang w:val="ro-MD" w:eastAsia="ar-SA"/>
              </w:rPr>
              <w:t>iilor comune sau prin alocarea mandatului la nivel na</w:t>
            </w:r>
            <w:r w:rsidR="00D84F0C" w:rsidRPr="00DD57E3">
              <w:rPr>
                <w:rFonts w:ascii="Times New Roman" w:eastAsiaTheme="minorEastAsia" w:hAnsi="Times New Roman" w:cs="Times New Roman"/>
                <w:iCs/>
                <w:sz w:val="24"/>
                <w:szCs w:val="24"/>
                <w:lang w:val="ro-MD" w:eastAsia="ar-SA"/>
              </w:rPr>
              <w:t>ț</w:t>
            </w:r>
            <w:r w:rsidRPr="00DD57E3">
              <w:rPr>
                <w:rFonts w:ascii="Times New Roman" w:eastAsiaTheme="minorEastAsia" w:hAnsi="Times New Roman" w:cs="Times New Roman"/>
                <w:iCs/>
                <w:sz w:val="24"/>
                <w:szCs w:val="24"/>
                <w:lang w:val="ro-MD" w:eastAsia="ar-SA"/>
              </w:rPr>
              <w:t>ional (în contextul în care economiile de scară pot fi ob</w:t>
            </w:r>
            <w:r w:rsidR="00D84F0C" w:rsidRPr="00DD57E3">
              <w:rPr>
                <w:rFonts w:ascii="Times New Roman" w:eastAsiaTheme="minorEastAsia" w:hAnsi="Times New Roman" w:cs="Times New Roman"/>
                <w:iCs/>
                <w:sz w:val="24"/>
                <w:szCs w:val="24"/>
                <w:lang w:val="ro-MD" w:eastAsia="ar-SA"/>
              </w:rPr>
              <w:t>ț</w:t>
            </w:r>
            <w:r w:rsidRPr="00DD57E3">
              <w:rPr>
                <w:rFonts w:ascii="Times New Roman" w:eastAsiaTheme="minorEastAsia" w:hAnsi="Times New Roman" w:cs="Times New Roman"/>
                <w:iCs/>
                <w:sz w:val="24"/>
                <w:szCs w:val="24"/>
                <w:lang w:val="ro-MD" w:eastAsia="ar-SA"/>
              </w:rPr>
              <w:t>inute printr-o mai bună aliniere a achizi</w:t>
            </w:r>
            <w:r w:rsidR="00D84F0C" w:rsidRPr="00DD57E3">
              <w:rPr>
                <w:rFonts w:ascii="Times New Roman" w:eastAsiaTheme="minorEastAsia" w:hAnsi="Times New Roman" w:cs="Times New Roman"/>
                <w:iCs/>
                <w:sz w:val="24"/>
                <w:szCs w:val="24"/>
                <w:lang w:val="ro-MD" w:eastAsia="ar-SA"/>
              </w:rPr>
              <w:t>ț</w:t>
            </w:r>
            <w:r w:rsidRPr="00DD57E3">
              <w:rPr>
                <w:rFonts w:ascii="Times New Roman" w:eastAsiaTheme="minorEastAsia" w:hAnsi="Times New Roman" w:cs="Times New Roman"/>
                <w:iCs/>
                <w:sz w:val="24"/>
                <w:szCs w:val="24"/>
                <w:lang w:val="ro-MD" w:eastAsia="ar-SA"/>
              </w:rPr>
              <w:t xml:space="preserve">iilor </w:t>
            </w:r>
            <w:r w:rsidR="00D84F0C" w:rsidRPr="00DD57E3">
              <w:rPr>
                <w:rFonts w:ascii="Times New Roman" w:eastAsiaTheme="minorEastAsia" w:hAnsi="Times New Roman" w:cs="Times New Roman"/>
                <w:iCs/>
                <w:sz w:val="24"/>
                <w:szCs w:val="24"/>
                <w:lang w:val="ro-MD" w:eastAsia="ar-SA"/>
              </w:rPr>
              <w:t>ș</w:t>
            </w:r>
            <w:r w:rsidRPr="00DD57E3">
              <w:rPr>
                <w:rFonts w:ascii="Times New Roman" w:eastAsiaTheme="minorEastAsia" w:hAnsi="Times New Roman" w:cs="Times New Roman"/>
                <w:iCs/>
                <w:sz w:val="24"/>
                <w:szCs w:val="24"/>
                <w:lang w:val="ro-MD" w:eastAsia="ar-SA"/>
              </w:rPr>
              <w:t>i prin achizi</w:t>
            </w:r>
            <w:r w:rsidR="00D84F0C" w:rsidRPr="00DD57E3">
              <w:rPr>
                <w:rFonts w:ascii="Times New Roman" w:eastAsiaTheme="minorEastAsia" w:hAnsi="Times New Roman" w:cs="Times New Roman"/>
                <w:iCs/>
                <w:sz w:val="24"/>
                <w:szCs w:val="24"/>
                <w:lang w:val="ro-MD" w:eastAsia="ar-SA"/>
              </w:rPr>
              <w:t>ț</w:t>
            </w:r>
            <w:r w:rsidRPr="00DD57E3">
              <w:rPr>
                <w:rFonts w:ascii="Times New Roman" w:eastAsiaTheme="minorEastAsia" w:hAnsi="Times New Roman" w:cs="Times New Roman"/>
                <w:iCs/>
                <w:sz w:val="24"/>
                <w:szCs w:val="24"/>
                <w:lang w:val="ro-MD" w:eastAsia="ar-SA"/>
              </w:rPr>
              <w:t xml:space="preserve">ii comune); </w:t>
            </w:r>
          </w:p>
          <w:p w14:paraId="63537749" w14:textId="271088AC" w:rsidR="00C41CCA" w:rsidRPr="00DD57E3" w:rsidRDefault="00C41CCA" w:rsidP="009164B4">
            <w:pPr>
              <w:numPr>
                <w:ilvl w:val="0"/>
                <w:numId w:val="3"/>
              </w:numPr>
              <w:tabs>
                <w:tab w:val="left" w:pos="884"/>
                <w:tab w:val="left" w:pos="1196"/>
              </w:tabs>
              <w:suppressAutoHyphens/>
              <w:spacing w:before="100" w:after="0" w:line="240" w:lineRule="auto"/>
              <w:jc w:val="both"/>
              <w:rPr>
                <w:rFonts w:eastAsiaTheme="minorEastAsia" w:cs="Times New Roman"/>
                <w:iCs/>
                <w:szCs w:val="24"/>
                <w:lang w:val="ro-MD" w:eastAsia="ar-SA"/>
              </w:rPr>
            </w:pPr>
            <w:r w:rsidRPr="00DD57E3">
              <w:rPr>
                <w:rFonts w:ascii="Times New Roman" w:eastAsiaTheme="minorEastAsia" w:hAnsi="Times New Roman" w:cs="Times New Roman"/>
                <w:iCs/>
                <w:sz w:val="24"/>
                <w:szCs w:val="24"/>
                <w:lang w:val="ro-MD" w:eastAsia="ar-SA"/>
              </w:rPr>
              <w:t>ajustarea Normelor metodologice privind modul de atribuire a contractelor de achizi</w:t>
            </w:r>
            <w:r w:rsidR="00D84F0C" w:rsidRPr="00DD57E3">
              <w:rPr>
                <w:rFonts w:ascii="Times New Roman" w:eastAsiaTheme="minorEastAsia" w:hAnsi="Times New Roman" w:cs="Times New Roman"/>
                <w:iCs/>
                <w:sz w:val="24"/>
                <w:szCs w:val="24"/>
                <w:lang w:val="ro-MD" w:eastAsia="ar-SA"/>
              </w:rPr>
              <w:t>ț</w:t>
            </w:r>
            <w:r w:rsidRPr="00DD57E3">
              <w:rPr>
                <w:rFonts w:ascii="Times New Roman" w:eastAsiaTheme="minorEastAsia" w:hAnsi="Times New Roman" w:cs="Times New Roman"/>
                <w:iCs/>
                <w:sz w:val="24"/>
                <w:szCs w:val="24"/>
                <w:lang w:val="ro-MD" w:eastAsia="ar-SA"/>
              </w:rPr>
              <w:t xml:space="preserve">ii sectoriale/acordurilor-cadru în sectoarele energeticii, apei, transporturilor </w:t>
            </w:r>
            <w:r w:rsidR="00D84F0C" w:rsidRPr="00DD57E3">
              <w:rPr>
                <w:rFonts w:ascii="Times New Roman" w:eastAsiaTheme="minorEastAsia" w:hAnsi="Times New Roman" w:cs="Times New Roman"/>
                <w:iCs/>
                <w:sz w:val="24"/>
                <w:szCs w:val="24"/>
                <w:lang w:val="ro-MD" w:eastAsia="ar-SA"/>
              </w:rPr>
              <w:t>ș</w:t>
            </w:r>
            <w:r w:rsidRPr="00DD57E3">
              <w:rPr>
                <w:rFonts w:ascii="Times New Roman" w:eastAsiaTheme="minorEastAsia" w:hAnsi="Times New Roman" w:cs="Times New Roman"/>
                <w:iCs/>
                <w:sz w:val="24"/>
                <w:szCs w:val="24"/>
                <w:lang w:val="ro-MD" w:eastAsia="ar-SA"/>
              </w:rPr>
              <w:t>i serviciilor po</w:t>
            </w:r>
            <w:r w:rsidR="00D84F0C" w:rsidRPr="00DD57E3">
              <w:rPr>
                <w:rFonts w:ascii="Times New Roman" w:eastAsiaTheme="minorEastAsia" w:hAnsi="Times New Roman" w:cs="Times New Roman"/>
                <w:iCs/>
                <w:sz w:val="24"/>
                <w:szCs w:val="24"/>
                <w:lang w:val="ro-MD" w:eastAsia="ar-SA"/>
              </w:rPr>
              <w:t>ș</w:t>
            </w:r>
            <w:r w:rsidRPr="00DD57E3">
              <w:rPr>
                <w:rFonts w:ascii="Times New Roman" w:eastAsiaTheme="minorEastAsia" w:hAnsi="Times New Roman" w:cs="Times New Roman"/>
                <w:iCs/>
                <w:sz w:val="24"/>
                <w:szCs w:val="24"/>
                <w:lang w:val="ro-MD" w:eastAsia="ar-SA"/>
              </w:rPr>
              <w:t>tale Hotărârii Guvernului nr. 464/2022;</w:t>
            </w:r>
          </w:p>
          <w:p w14:paraId="568BC895" w14:textId="77777777" w:rsidR="00E1308C" w:rsidRPr="00DD57E3" w:rsidRDefault="00EC29A4" w:rsidP="009164B4">
            <w:pPr>
              <w:numPr>
                <w:ilvl w:val="0"/>
                <w:numId w:val="3"/>
              </w:numPr>
              <w:tabs>
                <w:tab w:val="left" w:pos="884"/>
                <w:tab w:val="left" w:pos="1196"/>
              </w:tabs>
              <w:suppressAutoHyphens/>
              <w:spacing w:before="100" w:after="0" w:line="240" w:lineRule="auto"/>
              <w:jc w:val="both"/>
              <w:rPr>
                <w:rFonts w:ascii="Times New Roman" w:eastAsiaTheme="minorEastAsia" w:hAnsi="Times New Roman" w:cs="Times New Roman"/>
                <w:sz w:val="24"/>
                <w:szCs w:val="24"/>
                <w:lang w:val="ro-MD" w:eastAsia="ar-SA"/>
              </w:rPr>
            </w:pPr>
            <w:r w:rsidRPr="00DD57E3">
              <w:rPr>
                <w:rFonts w:ascii="Times New Roman" w:eastAsiaTheme="minorEastAsia" w:hAnsi="Times New Roman" w:cs="Times New Roman"/>
                <w:iCs/>
                <w:sz w:val="24"/>
                <w:szCs w:val="24"/>
                <w:lang w:val="ro-MD" w:eastAsia="ar-SA"/>
              </w:rPr>
              <w:t xml:space="preserve">alinierea la reglementările UE în domeniul omologării </w:t>
            </w:r>
            <w:r w:rsidR="00D84F0C" w:rsidRPr="00DD57E3">
              <w:rPr>
                <w:rFonts w:ascii="Times New Roman" w:eastAsiaTheme="minorEastAsia" w:hAnsi="Times New Roman" w:cs="Times New Roman"/>
                <w:iCs/>
                <w:sz w:val="24"/>
                <w:szCs w:val="24"/>
                <w:lang w:val="ro-MD" w:eastAsia="ar-SA"/>
              </w:rPr>
              <w:t>ș</w:t>
            </w:r>
            <w:r w:rsidR="009E296E" w:rsidRPr="00DD57E3">
              <w:rPr>
                <w:rFonts w:ascii="Times New Roman" w:eastAsiaTheme="minorEastAsia" w:hAnsi="Times New Roman" w:cs="Times New Roman"/>
                <w:iCs/>
                <w:sz w:val="24"/>
                <w:szCs w:val="24"/>
                <w:lang w:val="ro-MD" w:eastAsia="ar-SA"/>
              </w:rPr>
              <w:t xml:space="preserve">i certificării </w:t>
            </w:r>
            <w:r w:rsidRPr="00DD57E3">
              <w:rPr>
                <w:rFonts w:ascii="Times New Roman" w:eastAsiaTheme="minorEastAsia" w:hAnsi="Times New Roman" w:cs="Times New Roman"/>
                <w:iCs/>
                <w:sz w:val="24"/>
                <w:szCs w:val="24"/>
                <w:lang w:val="ro-MD" w:eastAsia="ar-SA"/>
              </w:rPr>
              <w:t xml:space="preserve">vehiculelor rutiere, care ar permite admiterea spre înmatriculare </w:t>
            </w:r>
            <w:r w:rsidR="00D84F0C" w:rsidRPr="00DD57E3">
              <w:rPr>
                <w:rFonts w:ascii="Times New Roman" w:eastAsiaTheme="minorEastAsia" w:hAnsi="Times New Roman" w:cs="Times New Roman"/>
                <w:iCs/>
                <w:sz w:val="24"/>
                <w:szCs w:val="24"/>
                <w:lang w:val="ro-MD" w:eastAsia="ar-SA"/>
              </w:rPr>
              <w:t>ș</w:t>
            </w:r>
            <w:r w:rsidR="007F4B48" w:rsidRPr="00DD57E3">
              <w:rPr>
                <w:rFonts w:ascii="Times New Roman" w:eastAsiaTheme="minorEastAsia" w:hAnsi="Times New Roman" w:cs="Times New Roman"/>
                <w:iCs/>
                <w:sz w:val="24"/>
                <w:szCs w:val="24"/>
                <w:lang w:val="ro-MD" w:eastAsia="ar-SA"/>
              </w:rPr>
              <w:t xml:space="preserve">i exploatare </w:t>
            </w:r>
            <w:r w:rsidRPr="00DD57E3">
              <w:rPr>
                <w:rFonts w:ascii="Times New Roman" w:eastAsiaTheme="minorEastAsia" w:hAnsi="Times New Roman" w:cs="Times New Roman"/>
                <w:iCs/>
                <w:sz w:val="24"/>
                <w:szCs w:val="24"/>
                <w:lang w:val="ro-MD" w:eastAsia="ar-SA"/>
              </w:rPr>
              <w:t>doar a vehiculelor care corespund cerin</w:t>
            </w:r>
            <w:r w:rsidR="00D84F0C" w:rsidRPr="00DD57E3">
              <w:rPr>
                <w:rFonts w:ascii="Times New Roman" w:eastAsiaTheme="minorEastAsia" w:hAnsi="Times New Roman" w:cs="Times New Roman"/>
                <w:iCs/>
                <w:sz w:val="24"/>
                <w:szCs w:val="24"/>
                <w:lang w:val="ro-MD" w:eastAsia="ar-SA"/>
              </w:rPr>
              <w:t>ț</w:t>
            </w:r>
            <w:r w:rsidRPr="00DD57E3">
              <w:rPr>
                <w:rFonts w:ascii="Times New Roman" w:eastAsiaTheme="minorEastAsia" w:hAnsi="Times New Roman" w:cs="Times New Roman"/>
                <w:iCs/>
                <w:sz w:val="24"/>
                <w:szCs w:val="24"/>
                <w:lang w:val="ro-MD" w:eastAsia="ar-SA"/>
              </w:rPr>
              <w:t xml:space="preserve">elor tehnice </w:t>
            </w:r>
            <w:r w:rsidR="00D84F0C" w:rsidRPr="00DD57E3">
              <w:rPr>
                <w:rFonts w:ascii="Times New Roman" w:eastAsiaTheme="minorEastAsia" w:hAnsi="Times New Roman" w:cs="Times New Roman"/>
                <w:iCs/>
                <w:sz w:val="24"/>
                <w:szCs w:val="24"/>
                <w:lang w:val="ro-MD" w:eastAsia="ar-SA"/>
              </w:rPr>
              <w:t>ș</w:t>
            </w:r>
            <w:r w:rsidRPr="00DD57E3">
              <w:rPr>
                <w:rFonts w:ascii="Times New Roman" w:eastAsiaTheme="minorEastAsia" w:hAnsi="Times New Roman" w:cs="Times New Roman"/>
                <w:iCs/>
                <w:sz w:val="24"/>
                <w:szCs w:val="24"/>
                <w:lang w:val="ro-MD" w:eastAsia="ar-SA"/>
              </w:rPr>
              <w:t>i normelor de mediu, fapt ce va spori siguran</w:t>
            </w:r>
            <w:r w:rsidR="00D84F0C" w:rsidRPr="00DD57E3">
              <w:rPr>
                <w:rFonts w:ascii="Times New Roman" w:eastAsiaTheme="minorEastAsia" w:hAnsi="Times New Roman" w:cs="Times New Roman"/>
                <w:iCs/>
                <w:sz w:val="24"/>
                <w:szCs w:val="24"/>
                <w:lang w:val="ro-MD" w:eastAsia="ar-SA"/>
              </w:rPr>
              <w:t>ț</w:t>
            </w:r>
            <w:r w:rsidRPr="00DD57E3">
              <w:rPr>
                <w:rFonts w:ascii="Times New Roman" w:eastAsiaTheme="minorEastAsia" w:hAnsi="Times New Roman" w:cs="Times New Roman"/>
                <w:iCs/>
                <w:sz w:val="24"/>
                <w:szCs w:val="24"/>
                <w:lang w:val="ro-MD" w:eastAsia="ar-SA"/>
              </w:rPr>
              <w:t xml:space="preserve">a traficului rutier </w:t>
            </w:r>
            <w:r w:rsidR="00D84F0C" w:rsidRPr="00DD57E3">
              <w:rPr>
                <w:rFonts w:ascii="Times New Roman" w:eastAsiaTheme="minorEastAsia" w:hAnsi="Times New Roman" w:cs="Times New Roman"/>
                <w:iCs/>
                <w:sz w:val="24"/>
                <w:szCs w:val="24"/>
                <w:lang w:val="ro-MD" w:eastAsia="ar-SA"/>
              </w:rPr>
              <w:t>ș</w:t>
            </w:r>
            <w:r w:rsidRPr="00DD57E3">
              <w:rPr>
                <w:rFonts w:ascii="Times New Roman" w:eastAsiaTheme="minorEastAsia" w:hAnsi="Times New Roman" w:cs="Times New Roman"/>
                <w:iCs/>
                <w:sz w:val="24"/>
                <w:szCs w:val="24"/>
                <w:lang w:val="ro-MD" w:eastAsia="ar-SA"/>
              </w:rPr>
              <w:t>i de protec</w:t>
            </w:r>
            <w:r w:rsidR="00D84F0C" w:rsidRPr="00DD57E3">
              <w:rPr>
                <w:rFonts w:ascii="Times New Roman" w:eastAsiaTheme="minorEastAsia" w:hAnsi="Times New Roman" w:cs="Times New Roman"/>
                <w:iCs/>
                <w:sz w:val="24"/>
                <w:szCs w:val="24"/>
                <w:lang w:val="ro-MD" w:eastAsia="ar-SA"/>
              </w:rPr>
              <w:t>ț</w:t>
            </w:r>
            <w:r w:rsidRPr="00DD57E3">
              <w:rPr>
                <w:rFonts w:ascii="Times New Roman" w:eastAsiaTheme="minorEastAsia" w:hAnsi="Times New Roman" w:cs="Times New Roman"/>
                <w:iCs/>
                <w:sz w:val="24"/>
                <w:szCs w:val="24"/>
                <w:lang w:val="ro-MD" w:eastAsia="ar-SA"/>
              </w:rPr>
              <w:t>ie a mediului</w:t>
            </w:r>
            <w:r w:rsidR="00E1308C" w:rsidRPr="00DD57E3">
              <w:rPr>
                <w:rFonts w:ascii="Times New Roman" w:eastAsiaTheme="minorEastAsia" w:hAnsi="Times New Roman" w:cs="Times New Roman"/>
                <w:iCs/>
                <w:sz w:val="24"/>
                <w:szCs w:val="24"/>
                <w:lang w:val="ro-MD" w:eastAsia="ar-SA"/>
              </w:rPr>
              <w:t xml:space="preserve"> în special:</w:t>
            </w:r>
            <w:r w:rsidR="00E1308C" w:rsidRPr="00DD57E3">
              <w:rPr>
                <w:rFonts w:ascii="Times New Roman" w:hAnsi="Times New Roman" w:cs="Times New Roman"/>
                <w:sz w:val="24"/>
                <w:szCs w:val="24"/>
                <w:lang w:val="ro-MD"/>
              </w:rPr>
              <w:t xml:space="preserve"> </w:t>
            </w:r>
          </w:p>
          <w:p w14:paraId="382F3160" w14:textId="7B18F759" w:rsidR="00E1308C" w:rsidRPr="00DD57E3" w:rsidRDefault="003D6CC3" w:rsidP="009164B4">
            <w:pPr>
              <w:tabs>
                <w:tab w:val="left" w:pos="884"/>
                <w:tab w:val="left" w:pos="1196"/>
              </w:tabs>
              <w:suppressAutoHyphens/>
              <w:spacing w:after="0" w:line="240" w:lineRule="auto"/>
              <w:ind w:left="720"/>
              <w:jc w:val="both"/>
              <w:rPr>
                <w:rFonts w:ascii="Times New Roman" w:eastAsiaTheme="minorEastAsia" w:hAnsi="Times New Roman" w:cs="Times New Roman"/>
                <w:sz w:val="24"/>
                <w:szCs w:val="24"/>
                <w:lang w:val="ro-MD" w:eastAsia="ar-SA"/>
              </w:rPr>
            </w:pPr>
            <w:r w:rsidRPr="00DD57E3">
              <w:rPr>
                <w:rFonts w:ascii="Times New Roman" w:eastAsiaTheme="minorEastAsia" w:hAnsi="Times New Roman" w:cs="Times New Roman"/>
                <w:sz w:val="24"/>
                <w:szCs w:val="24"/>
                <w:lang w:val="ro-MD" w:eastAsia="ar-SA"/>
              </w:rPr>
              <w:t>1</w:t>
            </w:r>
            <w:r w:rsidR="00E1308C" w:rsidRPr="00DD57E3">
              <w:rPr>
                <w:rFonts w:ascii="Times New Roman" w:eastAsiaTheme="minorEastAsia" w:hAnsi="Times New Roman" w:cs="Times New Roman"/>
                <w:sz w:val="24"/>
                <w:szCs w:val="24"/>
                <w:lang w:val="ro-MD" w:eastAsia="ar-SA"/>
              </w:rPr>
              <w:t>) Regulamentul (CE) nr. 715/2007 al Parlamentului European și al Consiliului din 20 iunie 2007 privind omologarea de tip a autovehiculelor în ceea ce privește emisiile provenind de la vehiculele ușoare pentru pasageri și de la vehiculele ușoare comerciale (Euro 5 și Euro 6);</w:t>
            </w:r>
          </w:p>
          <w:p w14:paraId="0585FB2F" w14:textId="7816FC76" w:rsidR="00E1308C" w:rsidRPr="00DD57E3" w:rsidRDefault="003D6CC3" w:rsidP="009164B4">
            <w:pPr>
              <w:tabs>
                <w:tab w:val="left" w:pos="884"/>
                <w:tab w:val="left" w:pos="1196"/>
              </w:tabs>
              <w:suppressAutoHyphens/>
              <w:spacing w:after="0" w:line="240" w:lineRule="auto"/>
              <w:ind w:left="720"/>
              <w:jc w:val="both"/>
              <w:rPr>
                <w:rFonts w:ascii="Times New Roman" w:eastAsiaTheme="minorEastAsia" w:hAnsi="Times New Roman" w:cs="Times New Roman"/>
                <w:sz w:val="24"/>
                <w:szCs w:val="24"/>
                <w:lang w:val="ro-MD" w:eastAsia="ar-SA"/>
              </w:rPr>
            </w:pPr>
            <w:r w:rsidRPr="00DD57E3">
              <w:rPr>
                <w:rFonts w:ascii="Times New Roman" w:eastAsiaTheme="minorEastAsia" w:hAnsi="Times New Roman" w:cs="Times New Roman"/>
                <w:sz w:val="24"/>
                <w:szCs w:val="24"/>
                <w:lang w:val="ro-MD" w:eastAsia="ar-SA"/>
              </w:rPr>
              <w:t>2</w:t>
            </w:r>
            <w:r w:rsidR="00E1308C" w:rsidRPr="00DD57E3">
              <w:rPr>
                <w:rFonts w:ascii="Times New Roman" w:eastAsiaTheme="minorEastAsia" w:hAnsi="Times New Roman" w:cs="Times New Roman"/>
                <w:sz w:val="24"/>
                <w:szCs w:val="24"/>
                <w:lang w:val="ro-MD" w:eastAsia="ar-SA"/>
              </w:rPr>
              <w:t>) Regulamentul (CE) nr. 661/2009 al Parlamentului European și al Consiliului din 13 iulie 2009 privind cerințele de omologare de tip pentru siguranța generală a autovehiculelor, a remorcilor acestora, precum și a sistemelor, componentelor și unităților tehnice separate care le sunt destinate;</w:t>
            </w:r>
          </w:p>
          <w:p w14:paraId="0001DC3F" w14:textId="7368BA5A" w:rsidR="00E1308C" w:rsidRPr="00DD57E3" w:rsidRDefault="003D6CC3" w:rsidP="009164B4">
            <w:pPr>
              <w:tabs>
                <w:tab w:val="left" w:pos="884"/>
                <w:tab w:val="left" w:pos="1196"/>
              </w:tabs>
              <w:suppressAutoHyphens/>
              <w:spacing w:after="0" w:line="240" w:lineRule="auto"/>
              <w:ind w:left="720"/>
              <w:jc w:val="both"/>
              <w:rPr>
                <w:rFonts w:ascii="Times New Roman" w:eastAsiaTheme="minorEastAsia" w:hAnsi="Times New Roman" w:cs="Times New Roman"/>
                <w:sz w:val="24"/>
                <w:szCs w:val="24"/>
                <w:lang w:val="ro-MD" w:eastAsia="ar-SA"/>
              </w:rPr>
            </w:pPr>
            <w:r w:rsidRPr="00DD57E3">
              <w:rPr>
                <w:rFonts w:ascii="Times New Roman" w:eastAsiaTheme="minorEastAsia" w:hAnsi="Times New Roman" w:cs="Times New Roman"/>
                <w:sz w:val="24"/>
                <w:szCs w:val="24"/>
                <w:lang w:val="ro-MD" w:eastAsia="ar-SA"/>
              </w:rPr>
              <w:lastRenderedPageBreak/>
              <w:t>3</w:t>
            </w:r>
            <w:r w:rsidR="00E1308C" w:rsidRPr="00DD57E3">
              <w:rPr>
                <w:rFonts w:ascii="Times New Roman" w:eastAsiaTheme="minorEastAsia" w:hAnsi="Times New Roman" w:cs="Times New Roman"/>
                <w:sz w:val="24"/>
                <w:szCs w:val="24"/>
                <w:lang w:val="ro-MD" w:eastAsia="ar-SA"/>
              </w:rPr>
              <w:t xml:space="preserve">) Regulamentul (CE) nr. 595/2009 al Parlamentului European și al Consiliului din 18 iunie 2009 privind omologarea de tip a autovehiculelor </w:t>
            </w:r>
            <w:r w:rsidRPr="00DD57E3">
              <w:rPr>
                <w:rFonts w:ascii="Times New Roman" w:eastAsiaTheme="minorEastAsia" w:hAnsi="Times New Roman" w:cs="Times New Roman"/>
                <w:sz w:val="24"/>
                <w:szCs w:val="24"/>
                <w:lang w:val="ro-MD" w:eastAsia="ar-SA"/>
              </w:rPr>
              <w:t>ș</w:t>
            </w:r>
            <w:r w:rsidR="00E1308C" w:rsidRPr="00DD57E3">
              <w:rPr>
                <w:rFonts w:ascii="Times New Roman" w:eastAsiaTheme="minorEastAsia" w:hAnsi="Times New Roman" w:cs="Times New Roman"/>
                <w:sz w:val="24"/>
                <w:szCs w:val="24"/>
                <w:lang w:val="ro-MD" w:eastAsia="ar-SA"/>
              </w:rPr>
              <w:t>i a motoarelor cu privire la emisiile provenite de la vehicule grele (Euro VI) și de modificare a Regulamentului (CE) nr. 715/2007 și a Directivei 2007/46/CE și de abrogare a Directivelor 80/1269/CEE, 2005/55/CE și 2005/78/CE;</w:t>
            </w:r>
          </w:p>
          <w:p w14:paraId="506DCEBD" w14:textId="1729BF6B" w:rsidR="00D77526" w:rsidRPr="00DD57E3" w:rsidRDefault="003D6CC3" w:rsidP="009164B4">
            <w:pPr>
              <w:tabs>
                <w:tab w:val="left" w:pos="884"/>
                <w:tab w:val="left" w:pos="1196"/>
              </w:tabs>
              <w:suppressAutoHyphens/>
              <w:spacing w:after="0" w:line="240" w:lineRule="auto"/>
              <w:ind w:left="720"/>
              <w:jc w:val="both"/>
              <w:rPr>
                <w:rFonts w:ascii="Times New Roman" w:eastAsiaTheme="minorEastAsia" w:hAnsi="Times New Roman" w:cs="Times New Roman"/>
                <w:sz w:val="24"/>
                <w:szCs w:val="24"/>
                <w:lang w:val="ro-MD" w:eastAsia="ar-SA"/>
              </w:rPr>
            </w:pPr>
            <w:r w:rsidRPr="00DD57E3">
              <w:rPr>
                <w:rFonts w:ascii="Times New Roman" w:eastAsiaTheme="minorEastAsia" w:hAnsi="Times New Roman" w:cs="Times New Roman"/>
                <w:sz w:val="24"/>
                <w:szCs w:val="24"/>
                <w:lang w:val="ro-MD" w:eastAsia="ar-SA"/>
              </w:rPr>
              <w:t>4</w:t>
            </w:r>
            <w:r w:rsidR="00E1308C" w:rsidRPr="00DD57E3">
              <w:rPr>
                <w:rFonts w:ascii="Times New Roman" w:eastAsiaTheme="minorEastAsia" w:hAnsi="Times New Roman" w:cs="Times New Roman"/>
                <w:sz w:val="24"/>
                <w:szCs w:val="24"/>
                <w:lang w:val="ro-MD" w:eastAsia="ar-SA"/>
              </w:rPr>
              <w:t>) Regulamentul de punere în aplicare (UE) 2020/683 din 15</w:t>
            </w:r>
            <w:r w:rsidRPr="00DD57E3">
              <w:rPr>
                <w:rFonts w:ascii="Times New Roman" w:eastAsiaTheme="minorEastAsia" w:hAnsi="Times New Roman" w:cs="Times New Roman"/>
                <w:sz w:val="24"/>
                <w:szCs w:val="24"/>
                <w:lang w:val="ro-MD" w:eastAsia="ar-SA"/>
              </w:rPr>
              <w:t xml:space="preserve"> </w:t>
            </w:r>
            <w:r w:rsidR="00E1308C" w:rsidRPr="00DD57E3">
              <w:rPr>
                <w:rFonts w:ascii="Times New Roman" w:eastAsiaTheme="minorEastAsia" w:hAnsi="Times New Roman" w:cs="Times New Roman"/>
                <w:sz w:val="24"/>
                <w:szCs w:val="24"/>
                <w:lang w:val="ro-MD" w:eastAsia="ar-SA"/>
              </w:rPr>
              <w:t>aprilie 2020 pentru punerea în aplicare a Regulamentului (UE) 2018/858 al Parlamentului European și al Consiliului în ceea ce privește cerințele administrative pentru omologarea și supravegherea pieței autovehiculelor și remorcilor acestora, precum și ale sistemelor, componentelor și unităților tehnice separate destinate vehiculelor respective</w:t>
            </w:r>
            <w:r w:rsidR="00C01B2A" w:rsidRPr="00DD57E3">
              <w:rPr>
                <w:rFonts w:ascii="Times New Roman" w:eastAsiaTheme="minorEastAsia" w:hAnsi="Times New Roman" w:cs="Times New Roman"/>
                <w:sz w:val="24"/>
                <w:szCs w:val="24"/>
                <w:lang w:val="ro-MD" w:eastAsia="ar-SA"/>
              </w:rPr>
              <w:t>;</w:t>
            </w:r>
          </w:p>
          <w:p w14:paraId="49FD0748" w14:textId="04896EA2" w:rsidR="003D6CC3" w:rsidRPr="00DD57E3" w:rsidRDefault="003D6CC3" w:rsidP="00D91B9B">
            <w:pPr>
              <w:pStyle w:val="a4"/>
              <w:numPr>
                <w:ilvl w:val="0"/>
                <w:numId w:val="3"/>
              </w:numPr>
              <w:spacing w:before="100" w:after="100" w:line="240" w:lineRule="auto"/>
              <w:jc w:val="both"/>
              <w:rPr>
                <w:rFonts w:eastAsiaTheme="minorEastAsia" w:cs="Times New Roman"/>
                <w:szCs w:val="24"/>
                <w:lang w:val="ro-MD" w:eastAsia="ar-SA"/>
              </w:rPr>
            </w:pPr>
            <w:r w:rsidRPr="00DD57E3">
              <w:rPr>
                <w:rFonts w:eastAsiaTheme="minorEastAsia" w:cs="Times New Roman"/>
                <w:iCs/>
                <w:szCs w:val="24"/>
                <w:lang w:val="ro-MD" w:eastAsia="ar-SA"/>
              </w:rPr>
              <w:t xml:space="preserve">alinierea la reglementările UE în domeniul serviciilor publice de transport rutier prin transpunerea </w:t>
            </w:r>
            <w:r w:rsidRPr="00DD57E3">
              <w:rPr>
                <w:rFonts w:eastAsiaTheme="minorEastAsia" w:cs="Times New Roman"/>
                <w:szCs w:val="24"/>
                <w:lang w:val="ro-MD" w:eastAsia="ar-SA"/>
              </w:rPr>
              <w:t>Regulamentului (CE) nr. 1370/2007 al Parlamentului European și al Consiliului din 23 octombrie 2007 privind serviciile publice de transport feroviar și rutier de călători și de abrogare a Regulamentelor (CEE) nr. 1191/69 și nr. 1107/70 ale Consiliului;</w:t>
            </w:r>
          </w:p>
          <w:p w14:paraId="10D91EF8" w14:textId="77777777" w:rsidR="003D6CC3" w:rsidRPr="00DD57E3" w:rsidRDefault="003D6CC3" w:rsidP="009164B4">
            <w:pPr>
              <w:pStyle w:val="a4"/>
              <w:spacing w:before="100" w:after="100" w:line="240" w:lineRule="auto"/>
              <w:jc w:val="both"/>
              <w:rPr>
                <w:rFonts w:eastAsiaTheme="minorEastAsia" w:cs="Times New Roman"/>
                <w:sz w:val="10"/>
                <w:szCs w:val="10"/>
                <w:lang w:val="ro-MD" w:eastAsia="ar-SA"/>
              </w:rPr>
            </w:pPr>
          </w:p>
          <w:p w14:paraId="14140D9B" w14:textId="750B34FF" w:rsidR="00D91B9B" w:rsidRPr="00DD57E3" w:rsidRDefault="00D91B9B" w:rsidP="003D6CC3">
            <w:pPr>
              <w:pStyle w:val="a4"/>
              <w:numPr>
                <w:ilvl w:val="0"/>
                <w:numId w:val="3"/>
              </w:numPr>
              <w:spacing w:before="100" w:after="100" w:line="240" w:lineRule="auto"/>
              <w:jc w:val="both"/>
              <w:rPr>
                <w:rFonts w:eastAsiaTheme="minorEastAsia" w:cs="Times New Roman"/>
                <w:szCs w:val="24"/>
                <w:lang w:val="ro-MD" w:eastAsia="ar-SA"/>
              </w:rPr>
            </w:pPr>
            <w:r w:rsidRPr="00DD57E3">
              <w:rPr>
                <w:rFonts w:eastAsia="Times New Roman" w:cs="Times New Roman"/>
                <w:bCs/>
                <w:iCs/>
                <w:szCs w:val="24"/>
                <w:lang w:val="ro-MD"/>
              </w:rPr>
              <w:t>elaborarea de instruc</w:t>
            </w:r>
            <w:r w:rsidR="00D84F0C" w:rsidRPr="00DD57E3">
              <w:rPr>
                <w:rFonts w:eastAsia="Times New Roman" w:cs="Times New Roman"/>
                <w:bCs/>
                <w:iCs/>
                <w:szCs w:val="24"/>
                <w:lang w:val="ro-MD"/>
              </w:rPr>
              <w:t>ț</w:t>
            </w:r>
            <w:r w:rsidRPr="00DD57E3">
              <w:rPr>
                <w:rFonts w:eastAsia="Times New Roman" w:cs="Times New Roman"/>
                <w:bCs/>
                <w:iCs/>
                <w:szCs w:val="24"/>
                <w:lang w:val="ro-MD"/>
              </w:rPr>
              <w:t>iuni pentru autorită</w:t>
            </w:r>
            <w:r w:rsidR="00D84F0C" w:rsidRPr="00DD57E3">
              <w:rPr>
                <w:rFonts w:eastAsia="Times New Roman" w:cs="Times New Roman"/>
                <w:bCs/>
                <w:iCs/>
                <w:szCs w:val="24"/>
                <w:lang w:val="ro-MD"/>
              </w:rPr>
              <w:t>ț</w:t>
            </w:r>
            <w:r w:rsidRPr="00DD57E3">
              <w:rPr>
                <w:rFonts w:eastAsia="Times New Roman" w:cs="Times New Roman"/>
                <w:bCs/>
                <w:iCs/>
                <w:szCs w:val="24"/>
                <w:lang w:val="ro-MD"/>
              </w:rPr>
              <w:t>ile/entită</w:t>
            </w:r>
            <w:r w:rsidR="00D84F0C" w:rsidRPr="00DD57E3">
              <w:rPr>
                <w:rFonts w:eastAsia="Times New Roman" w:cs="Times New Roman"/>
                <w:bCs/>
                <w:iCs/>
                <w:szCs w:val="24"/>
                <w:lang w:val="ro-MD"/>
              </w:rPr>
              <w:t>ț</w:t>
            </w:r>
            <w:r w:rsidRPr="00DD57E3">
              <w:rPr>
                <w:rFonts w:eastAsia="Times New Roman" w:cs="Times New Roman"/>
                <w:bCs/>
                <w:iCs/>
                <w:szCs w:val="24"/>
                <w:lang w:val="ro-MD"/>
              </w:rPr>
              <w:t>ile contractante cu privire la criteriile privind achizi</w:t>
            </w:r>
            <w:r w:rsidR="00D84F0C" w:rsidRPr="00DD57E3">
              <w:rPr>
                <w:rFonts w:eastAsia="Times New Roman" w:cs="Times New Roman"/>
                <w:bCs/>
                <w:iCs/>
                <w:szCs w:val="24"/>
                <w:lang w:val="ro-MD"/>
              </w:rPr>
              <w:t>ț</w:t>
            </w:r>
            <w:r w:rsidRPr="00DD57E3">
              <w:rPr>
                <w:rFonts w:eastAsia="Times New Roman" w:cs="Times New Roman"/>
                <w:bCs/>
                <w:iCs/>
                <w:szCs w:val="24"/>
                <w:lang w:val="ro-MD"/>
              </w:rPr>
              <w:t xml:space="preserve">iile publice de vehicule nepoluante, având drept îndrumar </w:t>
            </w:r>
            <w:r w:rsidRPr="00DD57E3">
              <w:rPr>
                <w:rFonts w:eastAsia="Times New Roman" w:cs="Times New Roman"/>
                <w:bCs/>
                <w:i/>
                <w:szCs w:val="24"/>
                <w:lang w:val="ro-MD"/>
              </w:rPr>
              <w:t>Criteriile UE privind achizi</w:t>
            </w:r>
            <w:r w:rsidR="00D84F0C" w:rsidRPr="00DD57E3">
              <w:rPr>
                <w:rFonts w:eastAsia="Times New Roman" w:cs="Times New Roman"/>
                <w:bCs/>
                <w:i/>
                <w:szCs w:val="24"/>
                <w:lang w:val="ro-MD"/>
              </w:rPr>
              <w:t>ț</w:t>
            </w:r>
            <w:r w:rsidRPr="00DD57E3">
              <w:rPr>
                <w:rFonts w:eastAsia="Times New Roman" w:cs="Times New Roman"/>
                <w:bCs/>
                <w:i/>
                <w:szCs w:val="24"/>
                <w:lang w:val="ro-MD"/>
              </w:rPr>
              <w:t xml:space="preserve">iile publice verzi în domeniul transportului rutier, </w:t>
            </w:r>
            <w:r w:rsidRPr="00DD57E3">
              <w:rPr>
                <w:rFonts w:eastAsia="Times New Roman" w:cs="Times New Roman"/>
                <w:bCs/>
                <w:iCs/>
                <w:szCs w:val="24"/>
                <w:lang w:val="ro-MD"/>
              </w:rPr>
              <w:t>aprobat de Comisia Europeană</w:t>
            </w:r>
            <w:r w:rsidRPr="00DD57E3">
              <w:rPr>
                <w:rStyle w:val="ac"/>
                <w:rFonts w:eastAsia="Times New Roman" w:cs="Times New Roman"/>
                <w:bCs/>
                <w:iCs/>
                <w:szCs w:val="24"/>
                <w:lang w:val="ro-MD"/>
              </w:rPr>
              <w:footnoteReference w:id="23"/>
            </w:r>
          </w:p>
        </w:tc>
      </w:tr>
      <w:tr w:rsidR="00D91B9B" w:rsidRPr="00DD57E3" w14:paraId="045FACB5" w14:textId="77777777" w:rsidTr="1762F123">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672E16" w14:textId="2E0C25C0" w:rsidR="00D91B9B" w:rsidRPr="00DD57E3" w:rsidRDefault="00D91B9B">
            <w:pPr>
              <w:tabs>
                <w:tab w:val="left" w:pos="884"/>
                <w:tab w:val="left" w:pos="1196"/>
              </w:tabs>
              <w:suppressAutoHyphens/>
              <w:spacing w:after="0" w:line="240" w:lineRule="auto"/>
              <w:jc w:val="both"/>
              <w:rPr>
                <w:rFonts w:ascii="Times New Roman" w:eastAsiaTheme="minorEastAsia" w:hAnsi="Times New Roman" w:cs="Times New Roman"/>
                <w:b/>
                <w:sz w:val="24"/>
                <w:szCs w:val="24"/>
                <w:lang w:val="ro-MD" w:eastAsia="ar-SA"/>
              </w:rPr>
            </w:pPr>
            <w:r w:rsidRPr="00DD57E3">
              <w:rPr>
                <w:rFonts w:ascii="Times New Roman" w:eastAsiaTheme="minorEastAsia" w:hAnsi="Times New Roman" w:cs="Times New Roman"/>
                <w:b/>
                <w:sz w:val="24"/>
                <w:szCs w:val="24"/>
                <w:lang w:val="ro-MD" w:eastAsia="ar-SA"/>
              </w:rPr>
              <w:lastRenderedPageBreak/>
              <w:t xml:space="preserve">6. </w:t>
            </w:r>
            <w:bookmarkStart w:id="17" w:name="_Hlk191386375"/>
            <w:r w:rsidRPr="00DD57E3">
              <w:rPr>
                <w:rFonts w:ascii="Times New Roman" w:eastAsiaTheme="minorEastAsia" w:hAnsi="Times New Roman" w:cs="Times New Roman"/>
                <w:b/>
                <w:sz w:val="24"/>
                <w:szCs w:val="24"/>
                <w:lang w:val="ro-MD" w:eastAsia="ar-SA"/>
              </w:rPr>
              <w:t xml:space="preserve">Avizarea </w:t>
            </w:r>
            <w:r w:rsidR="00D84F0C" w:rsidRPr="00DD57E3">
              <w:rPr>
                <w:rFonts w:ascii="Times New Roman" w:eastAsiaTheme="minorEastAsia" w:hAnsi="Times New Roman" w:cs="Times New Roman"/>
                <w:b/>
                <w:sz w:val="24"/>
                <w:szCs w:val="24"/>
                <w:lang w:val="ro-MD" w:eastAsia="ar-SA"/>
              </w:rPr>
              <w:t>ș</w:t>
            </w:r>
            <w:r w:rsidRPr="00DD57E3">
              <w:rPr>
                <w:rFonts w:ascii="Times New Roman" w:eastAsiaTheme="minorEastAsia" w:hAnsi="Times New Roman" w:cs="Times New Roman"/>
                <w:b/>
                <w:sz w:val="24"/>
                <w:szCs w:val="24"/>
                <w:lang w:val="ro-MD" w:eastAsia="ar-SA"/>
              </w:rPr>
              <w:t>i consultarea publică a proiectului actului normativ</w:t>
            </w:r>
            <w:bookmarkEnd w:id="17"/>
          </w:p>
        </w:tc>
      </w:tr>
      <w:tr w:rsidR="00D91B9B" w:rsidRPr="00DD57E3" w14:paraId="61D8DF38" w14:textId="77777777" w:rsidTr="1762F123">
        <w:trPr>
          <w:trHeight w:val="1410"/>
        </w:trPr>
        <w:tc>
          <w:tcPr>
            <w:tcW w:w="5000" w:type="pct"/>
            <w:tcBorders>
              <w:top w:val="single" w:sz="4" w:space="0" w:color="auto"/>
              <w:left w:val="single" w:sz="4" w:space="0" w:color="auto"/>
              <w:bottom w:val="single" w:sz="4" w:space="0" w:color="auto"/>
              <w:right w:val="single" w:sz="4" w:space="0" w:color="auto"/>
            </w:tcBorders>
            <w:hideMark/>
          </w:tcPr>
          <w:p w14:paraId="65713D65" w14:textId="5BDE2063" w:rsidR="00D91B9B" w:rsidRPr="00DD57E3" w:rsidRDefault="00D91B9B">
            <w:pPr>
              <w:pStyle w:val="tt"/>
              <w:spacing w:before="60"/>
              <w:jc w:val="both"/>
              <w:rPr>
                <w:rFonts w:eastAsiaTheme="minorHAnsi"/>
                <w:b w:val="0"/>
                <w:lang w:val="ro-MD" w:eastAsia="en-US"/>
              </w:rPr>
            </w:pPr>
            <w:r w:rsidRPr="00DD57E3">
              <w:rPr>
                <w:rFonts w:eastAsiaTheme="minorHAnsi"/>
                <w:b w:val="0"/>
                <w:lang w:val="ro-MD" w:eastAsia="en-US"/>
              </w:rPr>
              <w:t>În scopul respectării prevederilor Legii nr. 239/2008 privind transparen</w:t>
            </w:r>
            <w:r w:rsidR="00D84F0C" w:rsidRPr="00DD57E3">
              <w:rPr>
                <w:rFonts w:eastAsiaTheme="minorHAnsi"/>
                <w:b w:val="0"/>
                <w:lang w:val="ro-MD" w:eastAsia="en-US"/>
              </w:rPr>
              <w:t>ț</w:t>
            </w:r>
            <w:r w:rsidRPr="00DD57E3">
              <w:rPr>
                <w:rFonts w:eastAsiaTheme="minorHAnsi"/>
                <w:b w:val="0"/>
                <w:lang w:val="ro-MD" w:eastAsia="en-US"/>
              </w:rPr>
              <w:t xml:space="preserve">a în procesul decizional </w:t>
            </w:r>
            <w:r w:rsidR="00D84F0C" w:rsidRPr="00DD57E3">
              <w:rPr>
                <w:rFonts w:eastAsiaTheme="minorHAnsi"/>
                <w:b w:val="0"/>
                <w:lang w:val="ro-MD" w:eastAsia="en-US"/>
              </w:rPr>
              <w:t>ș</w:t>
            </w:r>
            <w:r w:rsidRPr="00DD57E3">
              <w:rPr>
                <w:rFonts w:eastAsiaTheme="minorHAnsi"/>
                <w:b w:val="0"/>
                <w:lang w:val="ro-MD" w:eastAsia="en-US"/>
              </w:rPr>
              <w:t>i Legii nr. 100/2017 cu privire la actele normative, anun</w:t>
            </w:r>
            <w:r w:rsidR="00D84F0C" w:rsidRPr="00DD57E3">
              <w:rPr>
                <w:rFonts w:eastAsiaTheme="minorHAnsi"/>
                <w:b w:val="0"/>
                <w:lang w:val="ro-MD" w:eastAsia="en-US"/>
              </w:rPr>
              <w:t>ț</w:t>
            </w:r>
            <w:r w:rsidRPr="00DD57E3">
              <w:rPr>
                <w:rFonts w:eastAsiaTheme="minorHAnsi"/>
                <w:b w:val="0"/>
                <w:lang w:val="ro-MD" w:eastAsia="en-US"/>
              </w:rPr>
              <w:t>ul privind ini</w:t>
            </w:r>
            <w:r w:rsidR="00D84F0C" w:rsidRPr="00DD57E3">
              <w:rPr>
                <w:rFonts w:eastAsiaTheme="minorHAnsi"/>
                <w:b w:val="0"/>
                <w:lang w:val="ro-MD" w:eastAsia="en-US"/>
              </w:rPr>
              <w:t>ț</w:t>
            </w:r>
            <w:r w:rsidRPr="00DD57E3">
              <w:rPr>
                <w:rFonts w:eastAsiaTheme="minorHAnsi"/>
                <w:b w:val="0"/>
                <w:lang w:val="ro-MD" w:eastAsia="en-US"/>
              </w:rPr>
              <w:t xml:space="preserve">ierea procesului de elaborare a Proiectului a fost plasat pe pagina web oficială a Ministerului Infrastructurii </w:t>
            </w:r>
            <w:r w:rsidR="00D84F0C" w:rsidRPr="00DD57E3">
              <w:rPr>
                <w:rFonts w:eastAsiaTheme="minorHAnsi"/>
                <w:b w:val="0"/>
                <w:lang w:val="ro-MD" w:eastAsia="en-US"/>
              </w:rPr>
              <w:t>ș</w:t>
            </w:r>
            <w:r w:rsidRPr="00DD57E3">
              <w:rPr>
                <w:rFonts w:eastAsiaTheme="minorHAnsi"/>
                <w:b w:val="0"/>
                <w:lang w:val="ro-MD" w:eastAsia="en-US"/>
              </w:rPr>
              <w:t>i Dezvoltării Regionale, compartimentul „Transparen</w:t>
            </w:r>
            <w:r w:rsidR="00D84F0C" w:rsidRPr="00DD57E3">
              <w:rPr>
                <w:rFonts w:eastAsiaTheme="minorHAnsi"/>
                <w:b w:val="0"/>
                <w:lang w:val="ro-MD" w:eastAsia="en-US"/>
              </w:rPr>
              <w:t>ț</w:t>
            </w:r>
            <w:r w:rsidRPr="00DD57E3">
              <w:rPr>
                <w:rFonts w:eastAsiaTheme="minorHAnsi"/>
                <w:b w:val="0"/>
                <w:lang w:val="ro-MD" w:eastAsia="en-US"/>
              </w:rPr>
              <w:t xml:space="preserve">ă decizională, consultări publice” </w:t>
            </w:r>
            <w:r w:rsidR="00D84F0C" w:rsidRPr="00DD57E3">
              <w:rPr>
                <w:rFonts w:eastAsiaTheme="minorHAnsi"/>
                <w:b w:val="0"/>
                <w:lang w:val="ro-MD" w:eastAsia="en-US"/>
              </w:rPr>
              <w:t>ș</w:t>
            </w:r>
            <w:r w:rsidRPr="00DD57E3">
              <w:rPr>
                <w:rFonts w:eastAsiaTheme="minorHAnsi"/>
                <w:b w:val="0"/>
                <w:lang w:val="ro-MD" w:eastAsia="en-US"/>
              </w:rPr>
              <w:t xml:space="preserve">i pe portalul guvernamental </w:t>
            </w:r>
            <w:hyperlink r:id="rId10" w:history="1">
              <w:r w:rsidRPr="00DD57E3">
                <w:rPr>
                  <w:rStyle w:val="a5"/>
                  <w:rFonts w:eastAsiaTheme="minorHAnsi"/>
                  <w:b w:val="0"/>
                  <w:lang w:val="ro-MD" w:eastAsia="en-US"/>
                </w:rPr>
                <w:t>https://particip.gov.md/ro</w:t>
              </w:r>
            </w:hyperlink>
            <w:r w:rsidRPr="00DD57E3">
              <w:rPr>
                <w:rFonts w:eastAsiaTheme="minorHAnsi"/>
                <w:b w:val="0"/>
                <w:lang w:val="ro-MD" w:eastAsia="en-US"/>
              </w:rPr>
              <w:t>.</w:t>
            </w:r>
          </w:p>
          <w:p w14:paraId="444D3AE3" w14:textId="0E66AD15" w:rsidR="00D91B9B" w:rsidRPr="00DD57E3" w:rsidRDefault="00D91B9B">
            <w:pPr>
              <w:pStyle w:val="tt"/>
              <w:spacing w:after="120"/>
              <w:jc w:val="both"/>
              <w:rPr>
                <w:rFonts w:eastAsiaTheme="minorHAnsi"/>
                <w:b w:val="0"/>
                <w:lang w:val="ro-MD" w:eastAsia="en-US"/>
              </w:rPr>
            </w:pPr>
            <w:r w:rsidRPr="00DD57E3">
              <w:rPr>
                <w:rFonts w:eastAsiaTheme="minorHAnsi"/>
                <w:b w:val="0"/>
                <w:lang w:val="ro-MD" w:eastAsia="en-US"/>
              </w:rPr>
              <w:t xml:space="preserve">De asemenea, proiectul de lege va fi supus consultărilor publice </w:t>
            </w:r>
            <w:r w:rsidR="00D84F0C" w:rsidRPr="00DD57E3">
              <w:rPr>
                <w:rFonts w:eastAsiaTheme="minorHAnsi"/>
                <w:b w:val="0"/>
                <w:lang w:val="ro-MD" w:eastAsia="en-US"/>
              </w:rPr>
              <w:t>ș</w:t>
            </w:r>
            <w:r w:rsidRPr="00DD57E3">
              <w:rPr>
                <w:rFonts w:eastAsiaTheme="minorHAnsi"/>
                <w:b w:val="0"/>
                <w:lang w:val="ro-MD" w:eastAsia="en-US"/>
              </w:rPr>
              <w:t>i avizării de către toate păr</w:t>
            </w:r>
            <w:r w:rsidR="00D84F0C" w:rsidRPr="00DD57E3">
              <w:rPr>
                <w:rFonts w:eastAsiaTheme="minorHAnsi"/>
                <w:b w:val="0"/>
                <w:lang w:val="ro-MD" w:eastAsia="en-US"/>
              </w:rPr>
              <w:t>ț</w:t>
            </w:r>
            <w:r w:rsidRPr="00DD57E3">
              <w:rPr>
                <w:rFonts w:eastAsiaTheme="minorHAnsi"/>
                <w:b w:val="0"/>
                <w:lang w:val="ro-MD" w:eastAsia="en-US"/>
              </w:rPr>
              <w:t>ile interesate.</w:t>
            </w:r>
          </w:p>
        </w:tc>
      </w:tr>
      <w:tr w:rsidR="00D91B9B" w:rsidRPr="00DD57E3" w14:paraId="6C0E810B" w14:textId="77777777" w:rsidTr="1762F123">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7F84F7E" w14:textId="77777777" w:rsidR="00D91B9B" w:rsidRPr="00DD57E3" w:rsidRDefault="00D91B9B">
            <w:pPr>
              <w:tabs>
                <w:tab w:val="left" w:pos="884"/>
                <w:tab w:val="left" w:pos="1196"/>
              </w:tabs>
              <w:suppressAutoHyphens/>
              <w:spacing w:after="0" w:line="240" w:lineRule="auto"/>
              <w:ind w:firstLine="30"/>
              <w:jc w:val="both"/>
              <w:rPr>
                <w:rFonts w:ascii="Times New Roman" w:eastAsiaTheme="minorEastAsia" w:hAnsi="Times New Roman" w:cs="Times New Roman"/>
                <w:sz w:val="24"/>
                <w:szCs w:val="24"/>
                <w:lang w:val="ro-MD" w:eastAsia="ar-SA"/>
              </w:rPr>
            </w:pPr>
            <w:r w:rsidRPr="00DD57E3">
              <w:rPr>
                <w:rFonts w:ascii="Times New Roman" w:eastAsiaTheme="minorEastAsia" w:hAnsi="Times New Roman" w:cs="Times New Roman"/>
                <w:b/>
                <w:sz w:val="24"/>
                <w:szCs w:val="24"/>
                <w:lang w:val="ro-MD" w:eastAsia="ar-SA"/>
              </w:rPr>
              <w:t xml:space="preserve">7. </w:t>
            </w:r>
            <w:bookmarkStart w:id="18" w:name="_Hlk191386382"/>
            <w:r w:rsidRPr="00DD57E3">
              <w:rPr>
                <w:rFonts w:ascii="Times New Roman" w:eastAsiaTheme="minorEastAsia" w:hAnsi="Times New Roman" w:cs="Times New Roman"/>
                <w:b/>
                <w:sz w:val="24"/>
                <w:szCs w:val="24"/>
                <w:lang w:val="ro-MD" w:eastAsia="ar-SA"/>
              </w:rPr>
              <w:t>Concluziile expertizelor</w:t>
            </w:r>
            <w:bookmarkEnd w:id="18"/>
          </w:p>
        </w:tc>
      </w:tr>
      <w:tr w:rsidR="00D91B9B" w:rsidRPr="00DD57E3" w14:paraId="64A0103F" w14:textId="77777777" w:rsidTr="1762F123">
        <w:trPr>
          <w:trHeight w:val="181"/>
        </w:trPr>
        <w:tc>
          <w:tcPr>
            <w:tcW w:w="5000" w:type="pct"/>
            <w:tcBorders>
              <w:top w:val="single" w:sz="4" w:space="0" w:color="auto"/>
              <w:left w:val="single" w:sz="4" w:space="0" w:color="auto"/>
              <w:bottom w:val="single" w:sz="4" w:space="0" w:color="auto"/>
              <w:right w:val="single" w:sz="4" w:space="0" w:color="auto"/>
            </w:tcBorders>
          </w:tcPr>
          <w:p w14:paraId="03796EE6" w14:textId="0F1E64AD" w:rsidR="00D91B9B" w:rsidRPr="00DD57E3" w:rsidRDefault="00D91B9B">
            <w:pPr>
              <w:spacing w:before="60" w:after="120" w:line="240" w:lineRule="auto"/>
              <w:ind w:left="29" w:right="14"/>
              <w:jc w:val="both"/>
              <w:rPr>
                <w:rFonts w:ascii="Times New Roman" w:hAnsi="Times New Roman" w:cs="Times New Roman"/>
                <w:sz w:val="24"/>
                <w:szCs w:val="24"/>
                <w:lang w:val="ro-MD"/>
              </w:rPr>
            </w:pPr>
            <w:r w:rsidRPr="00DD57E3">
              <w:rPr>
                <w:rFonts w:ascii="Times New Roman" w:hAnsi="Times New Roman" w:cs="Times New Roman"/>
                <w:sz w:val="24"/>
                <w:szCs w:val="24"/>
                <w:lang w:val="ro-MD"/>
              </w:rPr>
              <w:t xml:space="preserve">În scopul respectării art. 34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37 din Legea nr. 100/2017 cu privire la actele normative, proiectul va fi supus expertizei anticorup</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ie de către Centrul Na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ional Anticorup</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ie, expertizei de compatibilitate de către Centrul de Armonizare a Legisla</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 xml:space="preserve">iei </w:t>
            </w:r>
            <w:r w:rsidR="00D84F0C" w:rsidRPr="00DD57E3">
              <w:rPr>
                <w:rFonts w:ascii="Times New Roman" w:hAnsi="Times New Roman" w:cs="Times New Roman"/>
                <w:sz w:val="24"/>
                <w:szCs w:val="24"/>
                <w:lang w:val="ro-MD"/>
              </w:rPr>
              <w:t>ș</w:t>
            </w:r>
            <w:r w:rsidRPr="00DD57E3">
              <w:rPr>
                <w:rFonts w:ascii="Times New Roman" w:hAnsi="Times New Roman" w:cs="Times New Roman"/>
                <w:sz w:val="24"/>
                <w:szCs w:val="24"/>
                <w:lang w:val="ro-MD"/>
              </w:rPr>
              <w:t>i respectiv expertizei juridice de către Ministerul justi</w:t>
            </w:r>
            <w:r w:rsidR="00D84F0C" w:rsidRPr="00DD57E3">
              <w:rPr>
                <w:rFonts w:ascii="Times New Roman" w:hAnsi="Times New Roman" w:cs="Times New Roman"/>
                <w:sz w:val="24"/>
                <w:szCs w:val="24"/>
                <w:lang w:val="ro-MD"/>
              </w:rPr>
              <w:t>ț</w:t>
            </w:r>
            <w:r w:rsidRPr="00DD57E3">
              <w:rPr>
                <w:rFonts w:ascii="Times New Roman" w:hAnsi="Times New Roman" w:cs="Times New Roman"/>
                <w:sz w:val="24"/>
                <w:szCs w:val="24"/>
                <w:lang w:val="ro-MD"/>
              </w:rPr>
              <w:t>iei.</w:t>
            </w:r>
          </w:p>
        </w:tc>
      </w:tr>
      <w:tr w:rsidR="00D91B9B" w:rsidRPr="00DD57E3" w14:paraId="5F4CBCA5" w14:textId="77777777" w:rsidTr="1762F123">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9C1E8B" w14:textId="77777777" w:rsidR="00D91B9B" w:rsidRPr="00DD57E3" w:rsidRDefault="00D91B9B">
            <w:pPr>
              <w:tabs>
                <w:tab w:val="left" w:pos="884"/>
                <w:tab w:val="left" w:pos="1196"/>
              </w:tabs>
              <w:suppressAutoHyphens/>
              <w:spacing w:after="0" w:line="240" w:lineRule="auto"/>
              <w:jc w:val="both"/>
              <w:rPr>
                <w:rFonts w:ascii="Times New Roman" w:eastAsiaTheme="minorEastAsia" w:hAnsi="Times New Roman" w:cs="Times New Roman"/>
                <w:b/>
                <w:sz w:val="24"/>
                <w:szCs w:val="24"/>
                <w:lang w:val="ro-MD" w:eastAsia="ar-SA"/>
              </w:rPr>
            </w:pPr>
            <w:bookmarkStart w:id="19" w:name="_Hlk191386388"/>
            <w:r w:rsidRPr="00DD57E3">
              <w:rPr>
                <w:rFonts w:ascii="Times New Roman" w:eastAsiaTheme="minorEastAsia" w:hAnsi="Times New Roman" w:cs="Times New Roman"/>
                <w:b/>
                <w:sz w:val="24"/>
                <w:szCs w:val="24"/>
                <w:lang w:val="ro-MD" w:eastAsia="ar-SA"/>
              </w:rPr>
              <w:t>8. Modul de încorporare a actului în cadrul normativ existent</w:t>
            </w:r>
          </w:p>
        </w:tc>
      </w:tr>
      <w:bookmarkEnd w:id="19"/>
      <w:tr w:rsidR="00D91B9B" w:rsidRPr="00DD57E3" w14:paraId="672DF55B" w14:textId="77777777" w:rsidTr="1762F123">
        <w:tc>
          <w:tcPr>
            <w:tcW w:w="5000" w:type="pct"/>
            <w:tcBorders>
              <w:top w:val="single" w:sz="4" w:space="0" w:color="auto"/>
              <w:left w:val="single" w:sz="4" w:space="0" w:color="auto"/>
              <w:bottom w:val="single" w:sz="4" w:space="0" w:color="auto"/>
              <w:right w:val="single" w:sz="4" w:space="0" w:color="auto"/>
            </w:tcBorders>
          </w:tcPr>
          <w:p w14:paraId="1DEDF36A" w14:textId="6EEC5FD4" w:rsidR="00D91B9B" w:rsidRPr="00DD57E3" w:rsidRDefault="00D91B9B">
            <w:pPr>
              <w:tabs>
                <w:tab w:val="left" w:pos="241"/>
                <w:tab w:val="left" w:pos="315"/>
                <w:tab w:val="left" w:pos="599"/>
                <w:tab w:val="left" w:pos="922"/>
              </w:tabs>
              <w:spacing w:before="120" w:after="12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xml:space="preserve">Cadrul legal în vigoare nu este suficient de clar, previzibil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de exhaustiv din perspectiva reglementărilor legale cu privire la promovarea transportului rutier eficient energetic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prietenos mediului. Cadrul de reglementare este afectat de lipsa unor dispozi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ii specifice dezvoltării durabile a transportului public. Adoptarea legii care să asigure transpunerea Directivei 2009/33/CE, va stabili cadru legal special care să asigure promovarea transportului rutier nepoluant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eficient energetic, asigurând alinierea la </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intele stabilite în cadrul UE în cazul achizi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iilor publice de vehicule. </w:t>
            </w:r>
          </w:p>
          <w:p w14:paraId="4C9FEB72" w14:textId="664EB4F1" w:rsidR="00D91B9B" w:rsidRPr="00DD57E3" w:rsidRDefault="00D91B9B">
            <w:pPr>
              <w:tabs>
                <w:tab w:val="left" w:pos="241"/>
                <w:tab w:val="left" w:pos="315"/>
                <w:tab w:val="left" w:pos="599"/>
                <w:tab w:val="left" w:pos="922"/>
              </w:tabs>
              <w:spacing w:before="120" w:after="12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Astfel, proiectul de lege se încadrează armonios în cadrul legislativ în vigoare aplicabil domeniilor transportului, achizi</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publice, eficien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ă energetică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de mediu, pe care îl completează cu prevederi speciale care să reglementeze distinct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mod focusat </w:t>
            </w:r>
            <w:r w:rsidRPr="00DD57E3">
              <w:rPr>
                <w:rFonts w:ascii="Times New Roman" w:eastAsia="Times New Roman" w:hAnsi="Times New Roman" w:cs="Times New Roman"/>
                <w:bCs/>
                <w:sz w:val="24"/>
                <w:szCs w:val="24"/>
                <w:lang w:val="ro-MD"/>
              </w:rPr>
              <w:t xml:space="preserve">promovarea vehiculelor de transport rutier nepoluante </w:t>
            </w:r>
            <w:r w:rsidR="00D84F0C" w:rsidRPr="00DD57E3">
              <w:rPr>
                <w:rFonts w:ascii="Times New Roman" w:eastAsia="Times New Roman" w:hAnsi="Times New Roman" w:cs="Times New Roman"/>
                <w:bCs/>
                <w:sz w:val="24"/>
                <w:szCs w:val="24"/>
                <w:lang w:val="ro-MD"/>
              </w:rPr>
              <w:t>ș</w:t>
            </w:r>
            <w:r w:rsidRPr="00DD57E3">
              <w:rPr>
                <w:rFonts w:ascii="Times New Roman" w:eastAsia="Times New Roman" w:hAnsi="Times New Roman" w:cs="Times New Roman"/>
                <w:bCs/>
                <w:sz w:val="24"/>
                <w:szCs w:val="24"/>
                <w:lang w:val="ro-MD"/>
              </w:rPr>
              <w:t xml:space="preserve">i eficiente din punct de vedere energetic în corespundere cu acquis-ul UE.   </w:t>
            </w:r>
            <w:r w:rsidRPr="00DD57E3">
              <w:rPr>
                <w:rFonts w:ascii="Times New Roman" w:hAnsi="Times New Roman" w:cs="Times New Roman"/>
                <w:bCs/>
                <w:iCs/>
                <w:sz w:val="24"/>
                <w:szCs w:val="24"/>
                <w:lang w:val="ro-MD"/>
              </w:rPr>
              <w:t xml:space="preserve">  </w:t>
            </w:r>
          </w:p>
          <w:p w14:paraId="2E184843" w14:textId="5B297E48" w:rsidR="00D91B9B" w:rsidRPr="00DD57E3" w:rsidRDefault="00D91B9B">
            <w:pPr>
              <w:tabs>
                <w:tab w:val="left" w:pos="241"/>
                <w:tab w:val="left" w:pos="315"/>
                <w:tab w:val="left" w:pos="599"/>
                <w:tab w:val="left" w:pos="922"/>
              </w:tabs>
              <w:spacing w:before="120" w:after="12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De notat că, noua Lege privind ac</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iunile climatice nr. 74/2024 (care urmează să intre în vigoare în noiembrie 2025), prevede în sarcina Ministerul Infrastructurii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Dezvoltării Regionale (la art. 12) elaborarea documentelor de politici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acte normative pentru activită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ile din domeniul transportului, care să prevadă reducerea impactului emisiilor de GES provenite din sectorul transporturilor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cu privire la îmbunătă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irea eficien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ei consumului de combustibil, în scopul sporirii rezilien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ei climatice. </w:t>
            </w:r>
          </w:p>
          <w:p w14:paraId="7498EFA1" w14:textId="1431908F" w:rsidR="00D91B9B" w:rsidRPr="00DD57E3" w:rsidRDefault="00D91B9B">
            <w:pPr>
              <w:tabs>
                <w:tab w:val="left" w:pos="241"/>
                <w:tab w:val="left" w:pos="315"/>
                <w:tab w:val="left" w:pos="599"/>
                <w:tab w:val="left" w:pos="922"/>
              </w:tabs>
              <w:spacing w:after="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Totodată, proiectul reprezintă o continuitate a noilor reglementări ale Legii nr. 139/2018 privind eficien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a energetică (operate în mai 2023), care abordează aspectele generale privind eficien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a energetică în sectorul transporturilor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promovarea autovehiculelor electrice. Legea introduce conceptul de e-mobilitate, care prevede promovarea transportului curat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eficient care utilizează autovehicule electrice, alimentate fie de baterii, fie de celule de combustibil cu hidrogen, în vederea </w:t>
            </w:r>
            <w:r w:rsidR="00314E63" w:rsidRPr="00DD57E3">
              <w:rPr>
                <w:rFonts w:ascii="Times New Roman" w:hAnsi="Times New Roman" w:cs="Times New Roman"/>
                <w:bCs/>
                <w:iCs/>
                <w:sz w:val="24"/>
                <w:szCs w:val="24"/>
                <w:lang w:val="ro-MD"/>
              </w:rPr>
              <w:t>îmbunătă</w:t>
            </w:r>
            <w:r w:rsidR="00D84F0C" w:rsidRPr="00DD57E3">
              <w:rPr>
                <w:rFonts w:ascii="Times New Roman" w:hAnsi="Times New Roman" w:cs="Times New Roman"/>
                <w:bCs/>
                <w:iCs/>
                <w:sz w:val="24"/>
                <w:szCs w:val="24"/>
                <w:lang w:val="ro-MD"/>
              </w:rPr>
              <w:t>ț</w:t>
            </w:r>
            <w:r w:rsidR="00314E63" w:rsidRPr="00DD57E3">
              <w:rPr>
                <w:rFonts w:ascii="Times New Roman" w:hAnsi="Times New Roman" w:cs="Times New Roman"/>
                <w:bCs/>
                <w:iCs/>
                <w:sz w:val="24"/>
                <w:szCs w:val="24"/>
                <w:lang w:val="ro-MD"/>
              </w:rPr>
              <w:t>irii</w:t>
            </w:r>
            <w:r w:rsidRPr="00DD57E3">
              <w:rPr>
                <w:rFonts w:ascii="Times New Roman" w:hAnsi="Times New Roman" w:cs="Times New Roman"/>
                <w:bCs/>
                <w:iCs/>
                <w:sz w:val="24"/>
                <w:szCs w:val="24"/>
                <w:lang w:val="ro-MD"/>
              </w:rPr>
              <w:t xml:space="preserve"> performan</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ei energetice a acestora, reducerii consumului de combustibili fosili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a emisiilor de gaze cu efect de seră produse de unită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ile de transport. </w:t>
            </w:r>
          </w:p>
          <w:p w14:paraId="2A2DE3A8" w14:textId="623805BE" w:rsidR="00D91B9B" w:rsidRPr="00DD57E3" w:rsidRDefault="00D91B9B">
            <w:pPr>
              <w:tabs>
                <w:tab w:val="left" w:pos="241"/>
                <w:tab w:val="left" w:pos="315"/>
                <w:tab w:val="left" w:pos="599"/>
                <w:tab w:val="left" w:pos="922"/>
              </w:tabs>
              <w:spacing w:after="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lastRenderedPageBreak/>
              <w:t xml:space="preserve">În conformitate la art. </w:t>
            </w:r>
            <w:bookmarkStart w:id="20" w:name="Articolul_18&lt;sup&gt;1&lt;/sup&gt;."/>
            <w:r w:rsidRPr="00DD57E3">
              <w:rPr>
                <w:rFonts w:ascii="Times New Roman" w:hAnsi="Times New Roman" w:cs="Times New Roman"/>
                <w:bCs/>
                <w:iCs/>
                <w:sz w:val="24"/>
                <w:szCs w:val="24"/>
                <w:lang w:val="ro-MD"/>
              </w:rPr>
              <w:t>18</w:t>
            </w:r>
            <w:r w:rsidRPr="00DD57E3">
              <w:rPr>
                <w:rFonts w:ascii="Times New Roman" w:hAnsi="Times New Roman" w:cs="Times New Roman"/>
                <w:bCs/>
                <w:iCs/>
                <w:sz w:val="24"/>
                <w:szCs w:val="24"/>
                <w:vertAlign w:val="superscript"/>
                <w:lang w:val="ro-MD"/>
              </w:rPr>
              <w:t>1</w:t>
            </w:r>
            <w:r w:rsidRPr="00DD57E3">
              <w:rPr>
                <w:rFonts w:ascii="Times New Roman" w:hAnsi="Times New Roman" w:cs="Times New Roman"/>
                <w:bCs/>
                <w:iCs/>
                <w:sz w:val="24"/>
                <w:szCs w:val="24"/>
                <w:lang w:val="ro-MD"/>
              </w:rPr>
              <w:t xml:space="preserve"> </w:t>
            </w:r>
            <w:r w:rsidR="00314E63" w:rsidRPr="00DD57E3">
              <w:rPr>
                <w:rFonts w:ascii="Times New Roman" w:hAnsi="Times New Roman" w:cs="Times New Roman"/>
                <w:bCs/>
                <w:iCs/>
                <w:sz w:val="24"/>
                <w:szCs w:val="24"/>
                <w:lang w:val="ro-MD"/>
              </w:rPr>
              <w:t xml:space="preserve">alin. (1) lit. a) </w:t>
            </w:r>
            <w:r w:rsidR="00D84F0C" w:rsidRPr="00DD57E3">
              <w:rPr>
                <w:rFonts w:ascii="Times New Roman" w:hAnsi="Times New Roman" w:cs="Times New Roman"/>
                <w:bCs/>
                <w:iCs/>
                <w:sz w:val="24"/>
                <w:szCs w:val="24"/>
                <w:lang w:val="ro-MD"/>
              </w:rPr>
              <w:t>ș</w:t>
            </w:r>
            <w:r w:rsidR="00314E63" w:rsidRPr="00DD57E3">
              <w:rPr>
                <w:rFonts w:ascii="Times New Roman" w:hAnsi="Times New Roman" w:cs="Times New Roman"/>
                <w:bCs/>
                <w:iCs/>
                <w:sz w:val="24"/>
                <w:szCs w:val="24"/>
                <w:lang w:val="ro-MD"/>
              </w:rPr>
              <w:t xml:space="preserve">i b) </w:t>
            </w:r>
            <w:r w:rsidRPr="00DD57E3">
              <w:rPr>
                <w:rFonts w:ascii="Times New Roman" w:hAnsi="Times New Roman" w:cs="Times New Roman"/>
                <w:bCs/>
                <w:iCs/>
                <w:sz w:val="24"/>
                <w:szCs w:val="24"/>
                <w:lang w:val="ro-MD"/>
              </w:rPr>
              <w:t>al</w:t>
            </w:r>
            <w:bookmarkEnd w:id="20"/>
            <w:r w:rsidRPr="00DD57E3">
              <w:rPr>
                <w:rFonts w:ascii="Times New Roman" w:hAnsi="Times New Roman" w:cs="Times New Roman"/>
                <w:bCs/>
                <w:iCs/>
                <w:sz w:val="24"/>
                <w:szCs w:val="24"/>
                <w:lang w:val="ro-MD"/>
              </w:rPr>
              <w:t xml:space="preserve"> Legii</w:t>
            </w:r>
            <w:r w:rsidR="00314E63" w:rsidRPr="00DD57E3">
              <w:rPr>
                <w:rFonts w:ascii="Times New Roman" w:hAnsi="Times New Roman" w:cs="Times New Roman"/>
                <w:bCs/>
                <w:iCs/>
                <w:sz w:val="24"/>
                <w:szCs w:val="24"/>
                <w:lang w:val="ro-MD"/>
              </w:rPr>
              <w:t xml:space="preserve">, </w:t>
            </w:r>
            <w:r w:rsidRPr="00DD57E3">
              <w:rPr>
                <w:rFonts w:ascii="Times New Roman" w:hAnsi="Times New Roman" w:cs="Times New Roman"/>
                <w:bCs/>
                <w:iCs/>
                <w:sz w:val="24"/>
                <w:szCs w:val="24"/>
                <w:lang w:val="ro-MD"/>
              </w:rPr>
              <w:t xml:space="preserve">Guvernul promovează e-mobilitatea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alte op</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iuni de mobilitate prietenoase mediului prin:</w:t>
            </w:r>
          </w:p>
          <w:p w14:paraId="3D837AB9" w14:textId="130EAEB0" w:rsidR="00D91B9B" w:rsidRPr="00DD57E3" w:rsidRDefault="00D91B9B">
            <w:pPr>
              <w:tabs>
                <w:tab w:val="left" w:pos="241"/>
                <w:tab w:val="left" w:pos="315"/>
                <w:tab w:val="left" w:pos="599"/>
                <w:tab w:val="left" w:pos="922"/>
              </w:tabs>
              <w:spacing w:after="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a) extinderea facilită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 xml:space="preserve">ilor fiscale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scutirilor de taxe existente, precum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prin dezvoltarea de noi politici de încurajare a mobilită</w:t>
            </w:r>
            <w:r w:rsidR="00D84F0C" w:rsidRPr="00DD57E3">
              <w:rPr>
                <w:rFonts w:ascii="Times New Roman" w:hAnsi="Times New Roman" w:cs="Times New Roman"/>
                <w:bCs/>
                <w:iCs/>
                <w:sz w:val="24"/>
                <w:szCs w:val="24"/>
                <w:lang w:val="ro-MD"/>
              </w:rPr>
              <w:t>ț</w:t>
            </w:r>
            <w:r w:rsidRPr="00DD57E3">
              <w:rPr>
                <w:rFonts w:ascii="Times New Roman" w:hAnsi="Times New Roman" w:cs="Times New Roman"/>
                <w:bCs/>
                <w:iCs/>
                <w:sz w:val="24"/>
                <w:szCs w:val="24"/>
                <w:lang w:val="ro-MD"/>
              </w:rPr>
              <w:t>ii prietenoase mediului;</w:t>
            </w:r>
          </w:p>
          <w:p w14:paraId="7807EB1D" w14:textId="3A35DBBA" w:rsidR="00D91B9B" w:rsidRPr="00DD57E3" w:rsidRDefault="00D91B9B">
            <w:pPr>
              <w:tabs>
                <w:tab w:val="left" w:pos="241"/>
                <w:tab w:val="left" w:pos="315"/>
                <w:tab w:val="left" w:pos="599"/>
                <w:tab w:val="left" w:pos="922"/>
              </w:tabs>
              <w:spacing w:after="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xml:space="preserve">b) dezvoltarea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implementarea programelor de reînnoire a parcului auto existent prin substituirea autovehiculelor cu motoare cu ardere internă cu autovehicule electrice, precum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extinderea infrastructurii publice de încărcare cu energie electrică</w:t>
            </w:r>
            <w:r w:rsidR="00314E63" w:rsidRPr="00DD57E3">
              <w:rPr>
                <w:rFonts w:ascii="Times New Roman" w:hAnsi="Times New Roman" w:cs="Times New Roman"/>
                <w:bCs/>
                <w:iCs/>
                <w:sz w:val="24"/>
                <w:szCs w:val="24"/>
                <w:lang w:val="ro-MD"/>
              </w:rPr>
              <w:t xml:space="preserve">. </w:t>
            </w:r>
          </w:p>
          <w:p w14:paraId="1A98B06D" w14:textId="3DF9D968" w:rsidR="00D91B9B" w:rsidRPr="00DD57E3" w:rsidRDefault="00F37C5E">
            <w:pPr>
              <w:tabs>
                <w:tab w:val="left" w:pos="241"/>
                <w:tab w:val="left" w:pos="315"/>
                <w:tab w:val="left" w:pos="599"/>
                <w:tab w:val="left" w:pos="922"/>
              </w:tabs>
              <w:spacing w:after="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Alineatul</w:t>
            </w:r>
            <w:r w:rsidRPr="00DD57E3" w:rsidDel="00F37C5E">
              <w:rPr>
                <w:rFonts w:ascii="Times New Roman" w:hAnsi="Times New Roman" w:cs="Times New Roman"/>
                <w:bCs/>
                <w:iCs/>
                <w:sz w:val="24"/>
                <w:szCs w:val="24"/>
                <w:lang w:val="ro-MD"/>
              </w:rPr>
              <w:t xml:space="preserve"> </w:t>
            </w:r>
            <w:r w:rsidR="00D91B9B" w:rsidRPr="00DD57E3">
              <w:rPr>
                <w:rFonts w:ascii="Times New Roman" w:hAnsi="Times New Roman" w:cs="Times New Roman"/>
                <w:bCs/>
                <w:iCs/>
                <w:sz w:val="24"/>
                <w:szCs w:val="24"/>
                <w:lang w:val="ro-MD"/>
              </w:rPr>
              <w:t>(3)</w:t>
            </w:r>
            <w:r w:rsidRPr="00DD57E3">
              <w:rPr>
                <w:rFonts w:ascii="Times New Roman" w:hAnsi="Times New Roman" w:cs="Times New Roman"/>
                <w:bCs/>
                <w:iCs/>
                <w:sz w:val="24"/>
                <w:szCs w:val="24"/>
                <w:lang w:val="ro-MD"/>
              </w:rPr>
              <w:t xml:space="preserve"> al normei legale,</w:t>
            </w:r>
            <w:r w:rsidR="00D91B9B" w:rsidRPr="00DD57E3">
              <w:rPr>
                <w:rFonts w:ascii="Times New Roman" w:hAnsi="Times New Roman" w:cs="Times New Roman"/>
                <w:bCs/>
                <w:iCs/>
                <w:sz w:val="24"/>
                <w:szCs w:val="24"/>
                <w:lang w:val="ro-MD"/>
              </w:rPr>
              <w:t xml:space="preserve"> </w:t>
            </w:r>
            <w:r w:rsidRPr="00DD57E3">
              <w:rPr>
                <w:rFonts w:ascii="Times New Roman" w:hAnsi="Times New Roman" w:cs="Times New Roman"/>
                <w:bCs/>
                <w:iCs/>
                <w:sz w:val="24"/>
                <w:szCs w:val="24"/>
                <w:lang w:val="ro-MD"/>
              </w:rPr>
              <w:t xml:space="preserve">în sarcina </w:t>
            </w:r>
            <w:r w:rsidR="00D91B9B" w:rsidRPr="00DD57E3">
              <w:rPr>
                <w:rFonts w:ascii="Times New Roman" w:hAnsi="Times New Roman" w:cs="Times New Roman"/>
                <w:bCs/>
                <w:iCs/>
                <w:sz w:val="24"/>
                <w:szCs w:val="24"/>
                <w:lang w:val="ro-MD"/>
              </w:rPr>
              <w:t>Agen</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i</w:t>
            </w:r>
            <w:r w:rsidRPr="00DD57E3">
              <w:rPr>
                <w:rFonts w:ascii="Times New Roman" w:hAnsi="Times New Roman" w:cs="Times New Roman"/>
                <w:bCs/>
                <w:iCs/>
                <w:sz w:val="24"/>
                <w:szCs w:val="24"/>
                <w:lang w:val="ro-MD"/>
              </w:rPr>
              <w:t>ei</w:t>
            </w:r>
            <w:r w:rsidR="00D91B9B" w:rsidRPr="00DD57E3">
              <w:rPr>
                <w:rFonts w:ascii="Times New Roman" w:hAnsi="Times New Roman" w:cs="Times New Roman"/>
                <w:bCs/>
                <w:iCs/>
                <w:sz w:val="24"/>
                <w:szCs w:val="24"/>
                <w:lang w:val="ro-MD"/>
              </w:rPr>
              <w:t xml:space="preserve"> Servicii Publice</w:t>
            </w:r>
            <w:r w:rsidRPr="00DD57E3">
              <w:rPr>
                <w:rFonts w:ascii="Times New Roman" w:hAnsi="Times New Roman" w:cs="Times New Roman"/>
                <w:bCs/>
                <w:iCs/>
                <w:sz w:val="24"/>
                <w:szCs w:val="24"/>
                <w:lang w:val="ro-MD"/>
              </w:rPr>
              <w:t xml:space="preserve"> este pusă</w:t>
            </w:r>
            <w:r w:rsidR="00D91B9B" w:rsidRPr="00DD57E3">
              <w:rPr>
                <w:rFonts w:ascii="Times New Roman" w:hAnsi="Times New Roman" w:cs="Times New Roman"/>
                <w:bCs/>
                <w:iCs/>
                <w:sz w:val="24"/>
                <w:szCs w:val="24"/>
                <w:lang w:val="ro-MD"/>
              </w:rPr>
              <w:t xml:space="preserve"> </w:t>
            </w:r>
            <w:r w:rsidR="00091C80" w:rsidRPr="00DD57E3">
              <w:rPr>
                <w:rFonts w:ascii="Times New Roman" w:hAnsi="Times New Roman" w:cs="Times New Roman"/>
                <w:bCs/>
                <w:iCs/>
                <w:sz w:val="24"/>
                <w:szCs w:val="24"/>
                <w:lang w:val="ro-MD"/>
              </w:rPr>
              <w:t xml:space="preserve">prezentarea </w:t>
            </w:r>
            <w:r w:rsidR="00D91B9B" w:rsidRPr="00DD57E3">
              <w:rPr>
                <w:rFonts w:ascii="Times New Roman" w:hAnsi="Times New Roman" w:cs="Times New Roman"/>
                <w:bCs/>
                <w:iCs/>
                <w:sz w:val="24"/>
                <w:szCs w:val="24"/>
                <w:lang w:val="ro-MD"/>
              </w:rPr>
              <w:t>informa</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ii</w:t>
            </w:r>
            <w:r w:rsidR="00091C80" w:rsidRPr="00DD57E3">
              <w:rPr>
                <w:rFonts w:ascii="Times New Roman" w:hAnsi="Times New Roman" w:cs="Times New Roman"/>
                <w:bCs/>
                <w:iCs/>
                <w:sz w:val="24"/>
                <w:szCs w:val="24"/>
                <w:lang w:val="ro-MD"/>
              </w:rPr>
              <w:t>lor</w:t>
            </w:r>
            <w:r w:rsidR="00D91B9B" w:rsidRPr="00DD57E3">
              <w:rPr>
                <w:rFonts w:ascii="Times New Roman" w:hAnsi="Times New Roman" w:cs="Times New Roman"/>
                <w:bCs/>
                <w:iCs/>
                <w:sz w:val="24"/>
                <w:szCs w:val="24"/>
                <w:lang w:val="ro-MD"/>
              </w:rPr>
              <w:t xml:space="preserve"> relevante pentru procesul de monitorizare a implementării Planului na</w:t>
            </w:r>
            <w:r w:rsidR="00D84F0C" w:rsidRPr="00DD57E3">
              <w:rPr>
                <w:rFonts w:ascii="Times New Roman" w:hAnsi="Times New Roman" w:cs="Times New Roman"/>
                <w:bCs/>
                <w:iCs/>
                <w:sz w:val="24"/>
                <w:szCs w:val="24"/>
                <w:lang w:val="ro-MD"/>
              </w:rPr>
              <w:t>ț</w:t>
            </w:r>
            <w:r w:rsidR="00D91B9B" w:rsidRPr="00DD57E3">
              <w:rPr>
                <w:rFonts w:ascii="Times New Roman" w:hAnsi="Times New Roman" w:cs="Times New Roman"/>
                <w:bCs/>
                <w:iCs/>
                <w:sz w:val="24"/>
                <w:szCs w:val="24"/>
                <w:lang w:val="ro-MD"/>
              </w:rPr>
              <w:t xml:space="preserve">ional integrat privind energia </w:t>
            </w:r>
            <w:r w:rsidR="00D84F0C" w:rsidRPr="00DD57E3">
              <w:rPr>
                <w:rFonts w:ascii="Times New Roman" w:hAnsi="Times New Roman" w:cs="Times New Roman"/>
                <w:bCs/>
                <w:iCs/>
                <w:sz w:val="24"/>
                <w:szCs w:val="24"/>
                <w:lang w:val="ro-MD"/>
              </w:rPr>
              <w:t>ș</w:t>
            </w:r>
            <w:r w:rsidR="00D91B9B" w:rsidRPr="00DD57E3">
              <w:rPr>
                <w:rFonts w:ascii="Times New Roman" w:hAnsi="Times New Roman" w:cs="Times New Roman"/>
                <w:bCs/>
                <w:iCs/>
                <w:sz w:val="24"/>
                <w:szCs w:val="24"/>
                <w:lang w:val="ro-MD"/>
              </w:rPr>
              <w:t>i clima</w:t>
            </w:r>
            <w:r w:rsidR="00091C80" w:rsidRPr="00DD57E3">
              <w:rPr>
                <w:rFonts w:ascii="Times New Roman" w:hAnsi="Times New Roman" w:cs="Times New Roman"/>
                <w:bCs/>
                <w:iCs/>
                <w:sz w:val="24"/>
                <w:szCs w:val="24"/>
                <w:lang w:val="ro-MD"/>
              </w:rPr>
              <w:t>, precum</w:t>
            </w:r>
            <w:r w:rsidR="00D91B9B" w:rsidRPr="00DD57E3">
              <w:rPr>
                <w:rFonts w:ascii="Times New Roman" w:hAnsi="Times New Roman" w:cs="Times New Roman"/>
                <w:bCs/>
                <w:iCs/>
                <w:sz w:val="24"/>
                <w:szCs w:val="24"/>
                <w:lang w:val="ro-MD"/>
              </w:rPr>
              <w:t>:</w:t>
            </w:r>
          </w:p>
          <w:p w14:paraId="6EB50C7A" w14:textId="2648BA68" w:rsidR="00D91B9B" w:rsidRPr="00DD57E3" w:rsidRDefault="00D91B9B">
            <w:pPr>
              <w:tabs>
                <w:tab w:val="left" w:pos="241"/>
                <w:tab w:val="left" w:pos="315"/>
                <w:tab w:val="left" w:pos="599"/>
                <w:tab w:val="left" w:pos="922"/>
              </w:tabs>
              <w:spacing w:after="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xml:space="preserve">a) numărul autovehiculelor electrice înmatriculate în perioada de gestiune, pe categorii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i cumulativ;</w:t>
            </w:r>
          </w:p>
          <w:p w14:paraId="32AC9E14" w14:textId="2DFE2BE2" w:rsidR="00D91B9B" w:rsidRPr="00DD57E3" w:rsidRDefault="00D91B9B">
            <w:pPr>
              <w:tabs>
                <w:tab w:val="left" w:pos="241"/>
                <w:tab w:val="left" w:pos="315"/>
                <w:tab w:val="left" w:pos="599"/>
                <w:tab w:val="left" w:pos="922"/>
              </w:tabs>
              <w:spacing w:after="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 xml:space="preserve">b) numărul autovehiculelor hibride înmatriculate în perioada de gestiune, pe categorii </w:t>
            </w:r>
            <w:r w:rsidR="00D84F0C" w:rsidRPr="00DD57E3">
              <w:rPr>
                <w:rFonts w:ascii="Times New Roman" w:hAnsi="Times New Roman" w:cs="Times New Roman"/>
                <w:bCs/>
                <w:iCs/>
                <w:sz w:val="24"/>
                <w:szCs w:val="24"/>
                <w:lang w:val="ro-MD"/>
              </w:rPr>
              <w:t>ș</w:t>
            </w:r>
            <w:r w:rsidRPr="00DD57E3">
              <w:rPr>
                <w:rFonts w:ascii="Times New Roman" w:hAnsi="Times New Roman" w:cs="Times New Roman"/>
                <w:bCs/>
                <w:iCs/>
                <w:sz w:val="24"/>
                <w:szCs w:val="24"/>
                <w:lang w:val="ro-MD"/>
              </w:rPr>
              <w:t xml:space="preserve">i cumulativ; </w:t>
            </w:r>
          </w:p>
          <w:p w14:paraId="2339458D" w14:textId="77777777" w:rsidR="00D91B9B" w:rsidRPr="00DD57E3" w:rsidRDefault="00D91B9B">
            <w:pPr>
              <w:tabs>
                <w:tab w:val="left" w:pos="241"/>
                <w:tab w:val="left" w:pos="315"/>
                <w:tab w:val="left" w:pos="599"/>
                <w:tab w:val="left" w:pos="922"/>
              </w:tabs>
              <w:spacing w:after="120" w:line="240" w:lineRule="auto"/>
              <w:ind w:right="45"/>
              <w:jc w:val="both"/>
              <w:rPr>
                <w:rFonts w:ascii="Times New Roman" w:hAnsi="Times New Roman" w:cs="Times New Roman"/>
                <w:bCs/>
                <w:iCs/>
                <w:sz w:val="24"/>
                <w:szCs w:val="24"/>
                <w:lang w:val="ro-MD"/>
              </w:rPr>
            </w:pPr>
            <w:r w:rsidRPr="00DD57E3">
              <w:rPr>
                <w:rFonts w:ascii="Times New Roman" w:hAnsi="Times New Roman" w:cs="Times New Roman"/>
                <w:bCs/>
                <w:iCs/>
                <w:sz w:val="24"/>
                <w:szCs w:val="24"/>
                <w:lang w:val="ro-MD"/>
              </w:rPr>
              <w:t>c) parcursul înregistrat în anul precedent de autovehiculele electrice, pe categorii”.</w:t>
            </w:r>
          </w:p>
        </w:tc>
      </w:tr>
      <w:tr w:rsidR="00D91B9B" w:rsidRPr="00DD57E3" w14:paraId="227C8091" w14:textId="77777777" w:rsidTr="1762F123">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2A9AAB" w14:textId="77777777" w:rsidR="00D91B9B" w:rsidRPr="00DD57E3" w:rsidRDefault="00D91B9B">
            <w:pPr>
              <w:tabs>
                <w:tab w:val="left" w:pos="884"/>
                <w:tab w:val="left" w:pos="1196"/>
              </w:tabs>
              <w:suppressAutoHyphens/>
              <w:spacing w:after="0" w:line="240" w:lineRule="auto"/>
              <w:jc w:val="both"/>
              <w:rPr>
                <w:rFonts w:ascii="Times New Roman" w:eastAsiaTheme="minorEastAsia" w:hAnsi="Times New Roman" w:cs="Times New Roman"/>
                <w:b/>
                <w:sz w:val="24"/>
                <w:szCs w:val="24"/>
                <w:lang w:val="ro-MD" w:eastAsia="ar-SA"/>
              </w:rPr>
            </w:pPr>
            <w:r w:rsidRPr="00DD57E3">
              <w:rPr>
                <w:rFonts w:ascii="Times New Roman" w:eastAsiaTheme="minorEastAsia" w:hAnsi="Times New Roman" w:cs="Times New Roman"/>
                <w:b/>
                <w:sz w:val="24"/>
                <w:szCs w:val="24"/>
                <w:lang w:val="ro-MD" w:eastAsia="ar-SA"/>
              </w:rPr>
              <w:lastRenderedPageBreak/>
              <w:t xml:space="preserve">9. </w:t>
            </w:r>
            <w:bookmarkStart w:id="21" w:name="_Hlk191386439"/>
            <w:r w:rsidRPr="00DD57E3">
              <w:rPr>
                <w:rFonts w:ascii="Times New Roman" w:eastAsiaTheme="minorEastAsia" w:hAnsi="Times New Roman" w:cs="Times New Roman"/>
                <w:b/>
                <w:sz w:val="24"/>
                <w:szCs w:val="24"/>
                <w:lang w:val="ro-MD" w:eastAsia="ar-SA"/>
              </w:rPr>
              <w:t>Măsurile necesare pentru implementarea prevederilor proiectului actului normativ</w:t>
            </w:r>
            <w:bookmarkEnd w:id="21"/>
          </w:p>
        </w:tc>
      </w:tr>
      <w:tr w:rsidR="00D91B9B" w:rsidRPr="00643AB8" w14:paraId="2B68B06A" w14:textId="77777777" w:rsidTr="1762F123">
        <w:tc>
          <w:tcPr>
            <w:tcW w:w="5000" w:type="pct"/>
            <w:tcBorders>
              <w:top w:val="single" w:sz="4" w:space="0" w:color="auto"/>
              <w:left w:val="single" w:sz="4" w:space="0" w:color="auto"/>
              <w:bottom w:val="single" w:sz="4" w:space="0" w:color="auto"/>
              <w:right w:val="single" w:sz="4" w:space="0" w:color="auto"/>
            </w:tcBorders>
          </w:tcPr>
          <w:p w14:paraId="1D5D0A7A" w14:textId="77777777" w:rsidR="00D91B9B" w:rsidRPr="00DD57E3" w:rsidRDefault="00D91B9B">
            <w:pPr>
              <w:tabs>
                <w:tab w:val="left" w:pos="884"/>
                <w:tab w:val="left" w:pos="1196"/>
              </w:tabs>
              <w:suppressAutoHyphens/>
              <w:spacing w:after="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 xml:space="preserve">Materializarea beneficiilor asociate implementării proiectului de lege implică necesitatea întreprinderii măsurilor de: </w:t>
            </w:r>
          </w:p>
          <w:p w14:paraId="1567AEF5" w14:textId="0C1CF63E" w:rsidR="00D91B9B" w:rsidRPr="00DD57E3" w:rsidRDefault="00D91B9B" w:rsidP="00292D92">
            <w:pPr>
              <w:numPr>
                <w:ilvl w:val="0"/>
                <w:numId w:val="8"/>
              </w:numPr>
              <w:tabs>
                <w:tab w:val="left" w:pos="1080"/>
                <w:tab w:val="left" w:pos="1879"/>
              </w:tabs>
              <w:suppressAutoHyphens/>
              <w:spacing w:after="0" w:line="240" w:lineRule="auto"/>
              <w:ind w:left="1029" w:hanging="284"/>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electrificarea transporturilor prin stimularea achizi</w:t>
            </w:r>
            <w:r w:rsidR="00D84F0C" w:rsidRPr="00DD57E3">
              <w:rPr>
                <w:rFonts w:ascii="Times New Roman" w:eastAsiaTheme="minorEastAsia" w:hAnsi="Times New Roman" w:cs="Times New Roman"/>
                <w:bCs/>
                <w:iCs/>
                <w:sz w:val="24"/>
                <w:szCs w:val="24"/>
                <w:lang w:val="ro-MD" w:eastAsia="ar-SA"/>
              </w:rPr>
              <w:t>ț</w:t>
            </w:r>
            <w:r w:rsidRPr="00DD57E3">
              <w:rPr>
                <w:rFonts w:ascii="Times New Roman" w:eastAsiaTheme="minorEastAsia" w:hAnsi="Times New Roman" w:cs="Times New Roman"/>
                <w:bCs/>
                <w:iCs/>
                <w:sz w:val="24"/>
                <w:szCs w:val="24"/>
                <w:lang w:val="ro-MD" w:eastAsia="ar-SA"/>
              </w:rPr>
              <w:t>ionării vehiculelor electrice;</w:t>
            </w:r>
          </w:p>
          <w:p w14:paraId="7FDFC701" w14:textId="3E04E6CA" w:rsidR="00D91B9B" w:rsidRPr="00DD57E3" w:rsidRDefault="00D91B9B" w:rsidP="00292D92">
            <w:pPr>
              <w:numPr>
                <w:ilvl w:val="0"/>
                <w:numId w:val="8"/>
              </w:numPr>
              <w:tabs>
                <w:tab w:val="left" w:pos="1080"/>
                <w:tab w:val="left" w:pos="1879"/>
              </w:tabs>
              <w:suppressAutoHyphens/>
              <w:spacing w:after="0" w:line="240" w:lineRule="auto"/>
              <w:ind w:left="1029" w:hanging="284"/>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cre</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 xml:space="preserve">terea numărului de autovehicule cu emisii zero gaze cu efect de seră în parcurile de automobile  publice </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i corporative;</w:t>
            </w:r>
          </w:p>
          <w:p w14:paraId="77C9DDD1" w14:textId="1ED67B8F" w:rsidR="00D91B9B" w:rsidRPr="00DD57E3" w:rsidRDefault="00D91B9B" w:rsidP="00292D92">
            <w:pPr>
              <w:numPr>
                <w:ilvl w:val="0"/>
                <w:numId w:val="8"/>
              </w:numPr>
              <w:tabs>
                <w:tab w:val="left" w:pos="1080"/>
                <w:tab w:val="left" w:pos="1879"/>
              </w:tabs>
              <w:suppressAutoHyphens/>
              <w:spacing w:after="0" w:line="240" w:lineRule="auto"/>
              <w:ind w:left="1029" w:hanging="284"/>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instituirea schemelor de sprijin pentru înlocuirea vehiculelor din parcurile de automobile publice</w:t>
            </w:r>
            <w:r w:rsidR="00917F0D" w:rsidRPr="00DD57E3">
              <w:rPr>
                <w:rFonts w:ascii="Times New Roman" w:eastAsiaTheme="minorEastAsia" w:hAnsi="Times New Roman" w:cs="Times New Roman"/>
                <w:bCs/>
                <w:iCs/>
                <w:sz w:val="24"/>
                <w:szCs w:val="24"/>
                <w:lang w:val="ro-MD" w:eastAsia="ar-SA"/>
              </w:rPr>
              <w:t xml:space="preserve"> </w:t>
            </w:r>
            <w:r w:rsidRPr="00DD57E3">
              <w:rPr>
                <w:rFonts w:ascii="Times New Roman" w:eastAsiaTheme="minorEastAsia" w:hAnsi="Times New Roman" w:cs="Times New Roman"/>
                <w:bCs/>
                <w:iCs/>
                <w:sz w:val="24"/>
                <w:szCs w:val="24"/>
                <w:lang w:val="ro-MD" w:eastAsia="ar-SA"/>
              </w:rPr>
              <w:t>sau specializate (taxiuri, autobuze, etc.) cu vehicule mai eficiente, dezvoltarea liniilor de troleibuze;</w:t>
            </w:r>
          </w:p>
          <w:p w14:paraId="164F9450" w14:textId="77777777" w:rsidR="00D91B9B" w:rsidRPr="00DD57E3" w:rsidRDefault="00D91B9B" w:rsidP="00292D92">
            <w:pPr>
              <w:numPr>
                <w:ilvl w:val="0"/>
                <w:numId w:val="8"/>
              </w:numPr>
              <w:tabs>
                <w:tab w:val="left" w:pos="1080"/>
                <w:tab w:val="left" w:pos="1879"/>
              </w:tabs>
              <w:suppressAutoHyphens/>
              <w:spacing w:after="0" w:line="240" w:lineRule="auto"/>
              <w:ind w:left="1029" w:hanging="284"/>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dezvoltarea infrastructurii de reîncărcare a vehiculelor electrice;</w:t>
            </w:r>
          </w:p>
          <w:p w14:paraId="05F97E6F" w14:textId="34219078" w:rsidR="00D91B9B" w:rsidRPr="00DD57E3" w:rsidRDefault="00D91B9B" w:rsidP="00292D92">
            <w:pPr>
              <w:numPr>
                <w:ilvl w:val="0"/>
                <w:numId w:val="8"/>
              </w:numPr>
              <w:tabs>
                <w:tab w:val="left" w:pos="1080"/>
                <w:tab w:val="left" w:pos="1879"/>
              </w:tabs>
              <w:suppressAutoHyphens/>
              <w:spacing w:after="0" w:line="240" w:lineRule="auto"/>
              <w:ind w:left="1029" w:hanging="284"/>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promovarea inova</w:t>
            </w:r>
            <w:r w:rsidR="00D84F0C" w:rsidRPr="00DD57E3">
              <w:rPr>
                <w:rFonts w:ascii="Times New Roman" w:eastAsiaTheme="minorEastAsia" w:hAnsi="Times New Roman" w:cs="Times New Roman"/>
                <w:bCs/>
                <w:iCs/>
                <w:sz w:val="24"/>
                <w:szCs w:val="24"/>
                <w:lang w:val="ro-MD" w:eastAsia="ar-SA"/>
              </w:rPr>
              <w:t>ț</w:t>
            </w:r>
            <w:r w:rsidRPr="00DD57E3">
              <w:rPr>
                <w:rFonts w:ascii="Times New Roman" w:eastAsiaTheme="minorEastAsia" w:hAnsi="Times New Roman" w:cs="Times New Roman"/>
                <w:bCs/>
                <w:iCs/>
                <w:sz w:val="24"/>
                <w:szCs w:val="24"/>
                <w:lang w:val="ro-MD" w:eastAsia="ar-SA"/>
              </w:rPr>
              <w:t xml:space="preserve">iei </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i a competitivită</w:t>
            </w:r>
            <w:r w:rsidR="00D84F0C" w:rsidRPr="00DD57E3">
              <w:rPr>
                <w:rFonts w:ascii="Times New Roman" w:eastAsiaTheme="minorEastAsia" w:hAnsi="Times New Roman" w:cs="Times New Roman"/>
                <w:bCs/>
                <w:iCs/>
                <w:sz w:val="24"/>
                <w:szCs w:val="24"/>
                <w:lang w:val="ro-MD" w:eastAsia="ar-SA"/>
              </w:rPr>
              <w:t>ț</w:t>
            </w:r>
            <w:r w:rsidRPr="00DD57E3">
              <w:rPr>
                <w:rFonts w:ascii="Times New Roman" w:eastAsiaTheme="minorEastAsia" w:hAnsi="Times New Roman" w:cs="Times New Roman"/>
                <w:bCs/>
                <w:iCs/>
                <w:sz w:val="24"/>
                <w:szCs w:val="24"/>
                <w:lang w:val="ro-MD" w:eastAsia="ar-SA"/>
              </w:rPr>
              <w:t xml:space="preserve">ii; </w:t>
            </w:r>
          </w:p>
          <w:p w14:paraId="4F7412BC" w14:textId="2ADBB010" w:rsidR="00D91B9B" w:rsidRPr="00DD57E3" w:rsidRDefault="00D91B9B" w:rsidP="00292D92">
            <w:pPr>
              <w:numPr>
                <w:ilvl w:val="0"/>
                <w:numId w:val="8"/>
              </w:numPr>
              <w:tabs>
                <w:tab w:val="left" w:pos="1080"/>
                <w:tab w:val="left" w:pos="1879"/>
              </w:tabs>
              <w:suppressAutoHyphens/>
              <w:spacing w:after="0" w:line="240" w:lineRule="auto"/>
              <w:ind w:left="1029" w:hanging="284"/>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cre</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terea con</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 xml:space="preserve">tientizării </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i educa</w:t>
            </w:r>
            <w:r w:rsidR="00D84F0C" w:rsidRPr="00DD57E3">
              <w:rPr>
                <w:rFonts w:ascii="Times New Roman" w:eastAsiaTheme="minorEastAsia" w:hAnsi="Times New Roman" w:cs="Times New Roman"/>
                <w:bCs/>
                <w:iCs/>
                <w:sz w:val="24"/>
                <w:szCs w:val="24"/>
                <w:lang w:val="ro-MD" w:eastAsia="ar-SA"/>
              </w:rPr>
              <w:t>ț</w:t>
            </w:r>
            <w:r w:rsidRPr="00DD57E3">
              <w:rPr>
                <w:rFonts w:ascii="Times New Roman" w:eastAsiaTheme="minorEastAsia" w:hAnsi="Times New Roman" w:cs="Times New Roman"/>
                <w:bCs/>
                <w:iCs/>
                <w:sz w:val="24"/>
                <w:szCs w:val="24"/>
                <w:lang w:val="ro-MD" w:eastAsia="ar-SA"/>
              </w:rPr>
              <w:t>iei consumatorilor.</w:t>
            </w:r>
          </w:p>
          <w:p w14:paraId="32FF88CB" w14:textId="5D5918EC" w:rsidR="00D91B9B" w:rsidRPr="00DD57E3" w:rsidRDefault="00D91B9B">
            <w:pPr>
              <w:tabs>
                <w:tab w:val="left" w:pos="884"/>
                <w:tab w:val="left" w:pos="1196"/>
              </w:tabs>
              <w:suppressAutoHyphens/>
              <w:spacing w:after="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 xml:space="preserve">Electrificarea sectorului transportului public reprezintă una dintre cea mai eficientă </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i optimă solu</w:t>
            </w:r>
            <w:r w:rsidR="00D84F0C" w:rsidRPr="00DD57E3">
              <w:rPr>
                <w:rFonts w:ascii="Times New Roman" w:eastAsiaTheme="minorEastAsia" w:hAnsi="Times New Roman" w:cs="Times New Roman"/>
                <w:bCs/>
                <w:iCs/>
                <w:sz w:val="24"/>
                <w:szCs w:val="24"/>
                <w:lang w:val="ro-MD" w:eastAsia="ar-SA"/>
              </w:rPr>
              <w:t>ț</w:t>
            </w:r>
            <w:r w:rsidRPr="00DD57E3">
              <w:rPr>
                <w:rFonts w:ascii="Times New Roman" w:eastAsiaTheme="minorEastAsia" w:hAnsi="Times New Roman" w:cs="Times New Roman"/>
                <w:bCs/>
                <w:iCs/>
                <w:sz w:val="24"/>
                <w:szCs w:val="24"/>
                <w:lang w:val="ro-MD" w:eastAsia="ar-SA"/>
              </w:rPr>
              <w:t>ie, întrucât tehnologiile electrice actuale în domeniul transporturilor oferă o gamă variată de op</w:t>
            </w:r>
            <w:r w:rsidR="00D84F0C" w:rsidRPr="00DD57E3">
              <w:rPr>
                <w:rFonts w:ascii="Times New Roman" w:eastAsiaTheme="minorEastAsia" w:hAnsi="Times New Roman" w:cs="Times New Roman"/>
                <w:bCs/>
                <w:iCs/>
                <w:sz w:val="24"/>
                <w:szCs w:val="24"/>
                <w:lang w:val="ro-MD" w:eastAsia="ar-SA"/>
              </w:rPr>
              <w:t>ț</w:t>
            </w:r>
            <w:r w:rsidRPr="00DD57E3">
              <w:rPr>
                <w:rFonts w:ascii="Times New Roman" w:eastAsiaTheme="minorEastAsia" w:hAnsi="Times New Roman" w:cs="Times New Roman"/>
                <w:bCs/>
                <w:iCs/>
                <w:sz w:val="24"/>
                <w:szCs w:val="24"/>
                <w:lang w:val="ro-MD" w:eastAsia="ar-SA"/>
              </w:rPr>
              <w:t>iuni.</w:t>
            </w:r>
          </w:p>
          <w:p w14:paraId="102FAD10" w14:textId="1D0C911F" w:rsidR="00D91B9B" w:rsidRPr="00DD57E3" w:rsidRDefault="00D91B9B">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r w:rsidRPr="00DD57E3">
              <w:rPr>
                <w:rFonts w:ascii="Times New Roman" w:eastAsiaTheme="minorEastAsia" w:hAnsi="Times New Roman" w:cs="Times New Roman"/>
                <w:bCs/>
                <w:iCs/>
                <w:sz w:val="24"/>
                <w:szCs w:val="24"/>
                <w:lang w:val="ro-MD" w:eastAsia="ar-SA"/>
              </w:rPr>
              <w:t xml:space="preserve">În scopul determinării utilizatorilor să opteze pentru transportul public </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i sistemele de transport rutier ecologic, urmează a fi desfă</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urate ac</w:t>
            </w:r>
            <w:r w:rsidR="00D84F0C" w:rsidRPr="00DD57E3">
              <w:rPr>
                <w:rFonts w:ascii="Times New Roman" w:eastAsiaTheme="minorEastAsia" w:hAnsi="Times New Roman" w:cs="Times New Roman"/>
                <w:bCs/>
                <w:iCs/>
                <w:sz w:val="24"/>
                <w:szCs w:val="24"/>
                <w:lang w:val="ro-MD" w:eastAsia="ar-SA"/>
              </w:rPr>
              <w:t>ț</w:t>
            </w:r>
            <w:r w:rsidRPr="00DD57E3">
              <w:rPr>
                <w:rFonts w:ascii="Times New Roman" w:eastAsiaTheme="minorEastAsia" w:hAnsi="Times New Roman" w:cs="Times New Roman"/>
                <w:bCs/>
                <w:iCs/>
                <w:sz w:val="24"/>
                <w:szCs w:val="24"/>
                <w:lang w:val="ro-MD" w:eastAsia="ar-SA"/>
              </w:rPr>
              <w:t xml:space="preserve">iunile de promovare </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 xml:space="preserve">i sensibilizare a utilizatorilor, în mod eficient bazat pe o informare interactivă </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i crearea cadrului de implicare a publicului. În acest context, sensibilizarea utilizatorilor de transport în ceea ce prive</w:t>
            </w:r>
            <w:r w:rsidR="00D84F0C" w:rsidRPr="00DD57E3">
              <w:rPr>
                <w:rFonts w:ascii="Times New Roman" w:eastAsiaTheme="minorEastAsia" w:hAnsi="Times New Roman" w:cs="Times New Roman"/>
                <w:bCs/>
                <w:iCs/>
                <w:sz w:val="24"/>
                <w:szCs w:val="24"/>
                <w:lang w:val="ro-MD" w:eastAsia="ar-SA"/>
              </w:rPr>
              <w:t>ș</w:t>
            </w:r>
            <w:r w:rsidRPr="00DD57E3">
              <w:rPr>
                <w:rFonts w:ascii="Times New Roman" w:eastAsiaTheme="minorEastAsia" w:hAnsi="Times New Roman" w:cs="Times New Roman"/>
                <w:bCs/>
                <w:iCs/>
                <w:sz w:val="24"/>
                <w:szCs w:val="24"/>
                <w:lang w:val="ro-MD" w:eastAsia="ar-SA"/>
              </w:rPr>
              <w:t xml:space="preserve">te efectele vehiculelor prietenoase mediului este una dintre măsurile necesare pentru implementare.  </w:t>
            </w:r>
          </w:p>
          <w:p w14:paraId="100F0613" w14:textId="187CDA26" w:rsidR="00D91B9B" w:rsidRPr="00DD57E3" w:rsidRDefault="00D91B9B">
            <w:pPr>
              <w:tabs>
                <w:tab w:val="left" w:pos="884"/>
                <w:tab w:val="left" w:pos="1196"/>
              </w:tabs>
              <w:suppressAutoHyphens/>
              <w:spacing w:before="100" w:after="100" w:line="240" w:lineRule="auto"/>
              <w:jc w:val="both"/>
              <w:rPr>
                <w:rFonts w:ascii="Times New Roman" w:eastAsiaTheme="minorEastAsia" w:hAnsi="Times New Roman" w:cs="Times New Roman"/>
                <w:sz w:val="24"/>
                <w:szCs w:val="24"/>
                <w:lang w:val="ro-MD" w:eastAsia="ar-SA"/>
              </w:rPr>
            </w:pPr>
            <w:r w:rsidRPr="00DD57E3">
              <w:rPr>
                <w:rFonts w:ascii="Times New Roman" w:eastAsiaTheme="minorEastAsia" w:hAnsi="Times New Roman" w:cs="Times New Roman"/>
                <w:sz w:val="24"/>
                <w:szCs w:val="24"/>
                <w:lang w:val="ro-MD" w:eastAsia="ar-SA"/>
              </w:rPr>
              <w:t xml:space="preserve">Implementarea actului normativ ar urma să fie asigurată, în mare parte, de către </w:t>
            </w:r>
            <w:r w:rsidR="00C02E8B" w:rsidRPr="00DD57E3">
              <w:rPr>
                <w:rFonts w:ascii="Times New Roman" w:eastAsiaTheme="minorEastAsia" w:hAnsi="Times New Roman" w:cs="Times New Roman"/>
                <w:sz w:val="24"/>
                <w:szCs w:val="24"/>
                <w:lang w:val="ro-MD" w:eastAsia="ar-SA"/>
              </w:rPr>
              <w:t>Agenția pentru Achiziții Publice</w:t>
            </w:r>
            <w:r w:rsidRPr="00DD57E3">
              <w:rPr>
                <w:rFonts w:ascii="Times New Roman" w:eastAsiaTheme="minorEastAsia" w:hAnsi="Times New Roman" w:cs="Times New Roman"/>
                <w:sz w:val="24"/>
                <w:szCs w:val="24"/>
                <w:lang w:val="ro-MD" w:eastAsia="ar-SA"/>
              </w:rPr>
              <w:t xml:space="preserve">, care va publica datele aferente, va întocmi rapoartele periodice privind progresele înregistrate în implementarea legii, precum </w:t>
            </w:r>
            <w:r w:rsidR="00D84F0C" w:rsidRPr="00DD57E3">
              <w:rPr>
                <w:rFonts w:ascii="Times New Roman" w:eastAsiaTheme="minorEastAsia" w:hAnsi="Times New Roman" w:cs="Times New Roman"/>
                <w:sz w:val="24"/>
                <w:szCs w:val="24"/>
                <w:lang w:val="ro-MD" w:eastAsia="ar-SA"/>
              </w:rPr>
              <w:t>ș</w:t>
            </w:r>
            <w:r w:rsidRPr="00DD57E3">
              <w:rPr>
                <w:rFonts w:ascii="Times New Roman" w:eastAsiaTheme="minorEastAsia" w:hAnsi="Times New Roman" w:cs="Times New Roman"/>
                <w:sz w:val="24"/>
                <w:szCs w:val="24"/>
                <w:lang w:val="ro-MD" w:eastAsia="ar-SA"/>
              </w:rPr>
              <w:t>i va răspunde la solicitări ad-hoc de informa</w:t>
            </w:r>
            <w:r w:rsidR="00D84F0C" w:rsidRPr="00DD57E3">
              <w:rPr>
                <w:rFonts w:ascii="Times New Roman" w:eastAsiaTheme="minorEastAsia" w:hAnsi="Times New Roman" w:cs="Times New Roman"/>
                <w:sz w:val="24"/>
                <w:szCs w:val="24"/>
                <w:lang w:val="ro-MD" w:eastAsia="ar-SA"/>
              </w:rPr>
              <w:t>ț</w:t>
            </w:r>
            <w:r w:rsidRPr="00DD57E3">
              <w:rPr>
                <w:rFonts w:ascii="Times New Roman" w:eastAsiaTheme="minorEastAsia" w:hAnsi="Times New Roman" w:cs="Times New Roman"/>
                <w:sz w:val="24"/>
                <w:szCs w:val="24"/>
                <w:lang w:val="ro-MD" w:eastAsia="ar-SA"/>
              </w:rPr>
              <w:t xml:space="preserve">ii. </w:t>
            </w:r>
          </w:p>
        </w:tc>
      </w:tr>
    </w:tbl>
    <w:p w14:paraId="6A449E1C" w14:textId="77777777" w:rsidR="00D91B9B" w:rsidRPr="00643AB8" w:rsidRDefault="00D91B9B" w:rsidP="00D91B9B">
      <w:pPr>
        <w:spacing w:after="0" w:line="240" w:lineRule="auto"/>
        <w:ind w:right="142"/>
        <w:jc w:val="both"/>
        <w:outlineLvl w:val="0"/>
        <w:rPr>
          <w:rFonts w:ascii="Times New Roman" w:eastAsia="Times New Roman" w:hAnsi="Times New Roman" w:cs="Times New Roman"/>
          <w:b/>
          <w:sz w:val="24"/>
          <w:szCs w:val="24"/>
          <w:lang w:val="ro-MD" w:eastAsia="ro-RO"/>
        </w:rPr>
      </w:pPr>
    </w:p>
    <w:p w14:paraId="559C36FA" w14:textId="036D19DB" w:rsidR="00DC3CD2" w:rsidRPr="0003488E" w:rsidRDefault="00DC3CD2" w:rsidP="0003488E">
      <w:pPr>
        <w:tabs>
          <w:tab w:val="left" w:pos="884"/>
          <w:tab w:val="left" w:pos="1196"/>
        </w:tabs>
        <w:suppressAutoHyphens/>
        <w:spacing w:before="100" w:after="100" w:line="240" w:lineRule="auto"/>
        <w:jc w:val="both"/>
        <w:rPr>
          <w:rFonts w:ascii="Times New Roman" w:eastAsiaTheme="minorEastAsia" w:hAnsi="Times New Roman" w:cs="Times New Roman"/>
          <w:bCs/>
          <w:iCs/>
          <w:sz w:val="24"/>
          <w:szCs w:val="24"/>
          <w:lang w:val="ro-MD" w:eastAsia="ar-SA"/>
        </w:rPr>
      </w:pPr>
    </w:p>
    <w:sectPr w:rsidR="00DC3CD2" w:rsidRPr="0003488E" w:rsidSect="00D91B9B">
      <w:pgSz w:w="11906" w:h="16838"/>
      <w:pgMar w:top="709" w:right="70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6A75" w14:textId="77777777" w:rsidR="00DD25AE" w:rsidRDefault="00DD25AE" w:rsidP="00D91B9B">
      <w:pPr>
        <w:spacing w:after="0" w:line="240" w:lineRule="auto"/>
      </w:pPr>
      <w:r>
        <w:separator/>
      </w:r>
    </w:p>
  </w:endnote>
  <w:endnote w:type="continuationSeparator" w:id="0">
    <w:p w14:paraId="4B353D54" w14:textId="77777777" w:rsidR="00DD25AE" w:rsidRDefault="00DD25AE" w:rsidP="00D91B9B">
      <w:pPr>
        <w:spacing w:after="0" w:line="240" w:lineRule="auto"/>
      </w:pPr>
      <w:r>
        <w:continuationSeparator/>
      </w:r>
    </w:p>
  </w:endnote>
  <w:endnote w:type="continuationNotice" w:id="1">
    <w:p w14:paraId="169D5771" w14:textId="77777777" w:rsidR="00DD25AE" w:rsidRDefault="00DD2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ill Sans MT">
    <w:altName w:val="Segoe UI"/>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1DE4" w14:textId="77777777" w:rsidR="00DD25AE" w:rsidRDefault="00DD25AE" w:rsidP="00D91B9B">
      <w:pPr>
        <w:spacing w:after="0" w:line="240" w:lineRule="auto"/>
      </w:pPr>
      <w:r>
        <w:separator/>
      </w:r>
    </w:p>
  </w:footnote>
  <w:footnote w:type="continuationSeparator" w:id="0">
    <w:p w14:paraId="36CD0F52" w14:textId="77777777" w:rsidR="00DD25AE" w:rsidRDefault="00DD25AE" w:rsidP="00D91B9B">
      <w:pPr>
        <w:spacing w:after="0" w:line="240" w:lineRule="auto"/>
      </w:pPr>
      <w:r>
        <w:continuationSeparator/>
      </w:r>
    </w:p>
  </w:footnote>
  <w:footnote w:type="continuationNotice" w:id="1">
    <w:p w14:paraId="4919A0D8" w14:textId="77777777" w:rsidR="00DD25AE" w:rsidRDefault="00DD25AE">
      <w:pPr>
        <w:spacing w:after="0" w:line="240" w:lineRule="auto"/>
      </w:pPr>
    </w:p>
  </w:footnote>
  <w:footnote w:id="2">
    <w:p w14:paraId="6D3F0B93" w14:textId="52128080" w:rsidR="00011913" w:rsidRPr="003A3B7B" w:rsidRDefault="00011913" w:rsidP="003A3B7B">
      <w:pPr>
        <w:pStyle w:val="aa"/>
        <w:jc w:val="both"/>
        <w:rPr>
          <w:rFonts w:ascii="Times New Roman" w:hAnsi="Times New Roman" w:cs="Times New Roman"/>
          <w:color w:val="auto"/>
          <w:lang w:val="ro-RO"/>
        </w:rPr>
      </w:pPr>
      <w:r>
        <w:rPr>
          <w:rStyle w:val="ac"/>
        </w:rPr>
        <w:footnoteRef/>
      </w:r>
      <w:r w:rsidRPr="003A3B7B">
        <w:rPr>
          <w:lang w:val="es-ES"/>
        </w:rPr>
        <w:t xml:space="preserve"> </w:t>
      </w:r>
      <w:r w:rsidRPr="003A3B7B">
        <w:rPr>
          <w:rFonts w:ascii="Times New Roman" w:hAnsi="Times New Roman" w:cs="Times New Roman"/>
          <w:color w:val="auto"/>
          <w:lang w:val="ro-RO"/>
        </w:rPr>
        <w:t>Directiva 2014/24/UE a Parlamentului European și a Consiliului din 26 februarie 2014 privind achizițiile publice și de abrogare a Directivei 2004/18/CE</w:t>
      </w:r>
      <w:r>
        <w:rPr>
          <w:rFonts w:ascii="Times New Roman" w:hAnsi="Times New Roman" w:cs="Times New Roman"/>
          <w:color w:val="auto"/>
          <w:lang w:val="ro-RO"/>
        </w:rPr>
        <w:t>, transpusă prin Lega</w:t>
      </w:r>
      <w:r w:rsidRPr="003A3B7B">
        <w:rPr>
          <w:rFonts w:ascii="Times New Roman" w:hAnsi="Times New Roman" w:cs="Times New Roman"/>
          <w:color w:val="auto"/>
          <w:lang w:val="ro-MD"/>
        </w:rPr>
        <w:t xml:space="preserve"> nr. 131/2015 privind achizițiile publice</w:t>
      </w:r>
      <w:r>
        <w:rPr>
          <w:rFonts w:ascii="Times New Roman" w:hAnsi="Times New Roman" w:cs="Times New Roman"/>
          <w:color w:val="auto"/>
          <w:lang w:val="ro-MD"/>
        </w:rPr>
        <w:t>;</w:t>
      </w:r>
    </w:p>
  </w:footnote>
  <w:footnote w:id="3">
    <w:p w14:paraId="68F81ADD" w14:textId="576876E0" w:rsidR="00011913" w:rsidRPr="003A3B7B" w:rsidRDefault="00011913" w:rsidP="003A3B7B">
      <w:pPr>
        <w:pStyle w:val="aa"/>
        <w:jc w:val="both"/>
        <w:rPr>
          <w:lang w:val="ro-RO"/>
        </w:rPr>
      </w:pPr>
      <w:r>
        <w:rPr>
          <w:rStyle w:val="ac"/>
        </w:rPr>
        <w:footnoteRef/>
      </w:r>
      <w:r w:rsidRPr="003A3B7B">
        <w:rPr>
          <w:lang w:val="ro-RO"/>
        </w:rPr>
        <w:t xml:space="preserve"> </w:t>
      </w:r>
      <w:r w:rsidRPr="003A3B7B">
        <w:rPr>
          <w:rFonts w:ascii="Times New Roman" w:hAnsi="Times New Roman" w:cs="Times New Roman"/>
          <w:color w:val="auto"/>
          <w:lang w:val="ro-RO"/>
        </w:rPr>
        <w:t>Directiva 2014/25/UE a Parlamentului European și a Consiliului din 26 februarie 2014 privind achizițiile efectuate de entitățile care își desfășoară activitatea în sectoarele apei, energiei, transporturilor și serviciilor poștale și de abrogare a Directivei 2004/17/CΕ</w:t>
      </w:r>
      <w:r>
        <w:rPr>
          <w:rFonts w:ascii="Times New Roman" w:hAnsi="Times New Roman" w:cs="Times New Roman"/>
          <w:color w:val="auto"/>
          <w:lang w:val="ro-RO"/>
        </w:rPr>
        <w:t xml:space="preserve">, transpusă prin </w:t>
      </w:r>
      <w:r w:rsidRPr="003A3B7B">
        <w:rPr>
          <w:rFonts w:ascii="Times New Roman" w:hAnsi="Times New Roman" w:cs="Times New Roman"/>
          <w:color w:val="auto"/>
          <w:lang w:val="ro-MD"/>
        </w:rPr>
        <w:t>Legea nr. 74/2020 privind achizițiile în sectoarele energeticii, apei, transporturilor și serviciilor poștale</w:t>
      </w:r>
      <w:r>
        <w:rPr>
          <w:rFonts w:ascii="Times New Roman" w:hAnsi="Times New Roman" w:cs="Times New Roman"/>
          <w:color w:val="auto"/>
          <w:lang w:val="ro-MD"/>
        </w:rPr>
        <w:t>;</w:t>
      </w:r>
    </w:p>
  </w:footnote>
  <w:footnote w:id="4">
    <w:p w14:paraId="682D2534" w14:textId="77777777" w:rsidR="00011913" w:rsidRPr="006C132D" w:rsidRDefault="00011913" w:rsidP="00D91B9B">
      <w:pPr>
        <w:pStyle w:val="aa"/>
        <w:rPr>
          <w:lang w:val="ro-RO"/>
        </w:rPr>
      </w:pPr>
      <w:r w:rsidRPr="006C132D">
        <w:rPr>
          <w:rStyle w:val="ac"/>
          <w:color w:val="auto"/>
          <w:lang w:val="ro-RO"/>
        </w:rPr>
        <w:footnoteRef/>
      </w:r>
      <w:r w:rsidRPr="006C132D">
        <w:rPr>
          <w:color w:val="auto"/>
          <w:lang w:val="ro-RO"/>
        </w:rPr>
        <w:t xml:space="preserve"> </w:t>
      </w:r>
      <w:r w:rsidRPr="006C132D">
        <w:rPr>
          <w:rFonts w:ascii="Times New Roman" w:hAnsi="Times New Roman" w:cs="Times New Roman"/>
          <w:color w:val="auto"/>
          <w:lang w:val="ro-RO"/>
        </w:rPr>
        <w:t xml:space="preserve">EUCO 24/22. Concluzii Reuniunii Consiliului European (23 și 24 iunie 2022). Bruxelles, 24 iunie 2022. Disponibil: </w:t>
      </w:r>
      <w:hyperlink r:id="rId1" w:history="1">
        <w:r w:rsidRPr="00824AD2">
          <w:rPr>
            <w:rStyle w:val="a5"/>
            <w:rFonts w:ascii="Times New Roman" w:hAnsi="Times New Roman" w:cs="Times New Roman"/>
            <w:i/>
            <w:lang w:val="ro-RO"/>
          </w:rPr>
          <w:t>https://www.consilium.europa.eu/media/57467/2022-06-2324-euco-conclusions-ro.pdf</w:t>
        </w:r>
      </w:hyperlink>
      <w:r w:rsidRPr="006C132D">
        <w:rPr>
          <w:lang w:val="ro-RO"/>
        </w:rPr>
        <w:t xml:space="preserve"> </w:t>
      </w:r>
    </w:p>
  </w:footnote>
  <w:footnote w:id="5">
    <w:p w14:paraId="26F93427" w14:textId="77777777" w:rsidR="00011913" w:rsidRPr="006C132D" w:rsidRDefault="00011913" w:rsidP="00D91B9B">
      <w:pPr>
        <w:pStyle w:val="aa"/>
        <w:jc w:val="both"/>
        <w:rPr>
          <w:lang w:val="ro-RO"/>
        </w:rPr>
      </w:pPr>
      <w:r w:rsidRPr="006C132D">
        <w:rPr>
          <w:rStyle w:val="ac"/>
          <w:lang w:val="ro-RO"/>
        </w:rPr>
        <w:footnoteRef/>
      </w:r>
      <w:r w:rsidRPr="006C132D">
        <w:rPr>
          <w:lang w:val="ro-RO"/>
        </w:rPr>
        <w:t xml:space="preserve"> </w:t>
      </w:r>
      <w:r w:rsidRPr="006C132D">
        <w:rPr>
          <w:rFonts w:ascii="Times New Roman" w:hAnsi="Times New Roman"/>
          <w:bCs/>
          <w:color w:val="auto"/>
          <w:szCs w:val="23"/>
          <w:lang w:val="ro-RO" w:eastAsia="en-GB"/>
        </w:rPr>
        <w:t xml:space="preserve">EURO-Lex, legislația Uniunii Europene. Criteriile de aderare (criteriile de la Copenhaga). Disponibil: </w:t>
      </w:r>
      <w:hyperlink r:id="rId2" w:history="1">
        <w:r w:rsidRPr="00824AD2">
          <w:rPr>
            <w:rStyle w:val="a5"/>
            <w:rFonts w:ascii="Times New Roman" w:hAnsi="Times New Roman"/>
            <w:bCs/>
            <w:i/>
            <w:szCs w:val="23"/>
            <w:lang w:val="ro-RO" w:eastAsia="en-GB"/>
          </w:rPr>
          <w:t>https://eur-lex.europa.eu/RO/legal-content/glossary/accession-criteria-copenhagen-criteria.html</w:t>
        </w:r>
      </w:hyperlink>
    </w:p>
  </w:footnote>
  <w:footnote w:id="6">
    <w:p w14:paraId="41528419" w14:textId="2D28E708" w:rsidR="00011913" w:rsidRPr="00365582" w:rsidRDefault="00011913" w:rsidP="00D91B9B">
      <w:pPr>
        <w:pStyle w:val="aa"/>
        <w:jc w:val="both"/>
      </w:pPr>
      <w:r>
        <w:rPr>
          <w:rStyle w:val="ac"/>
        </w:rPr>
        <w:footnoteRef/>
      </w:r>
      <w:r w:rsidRPr="005C1370">
        <w:t xml:space="preserve"> </w:t>
      </w:r>
      <w:r w:rsidRPr="00365582">
        <w:t>S</w:t>
      </w:r>
      <w:r w:rsidRPr="00365582">
        <w:rPr>
          <w:rFonts w:ascii="Times New Roman" w:hAnsi="Times New Roman" w:cs="Times New Roman"/>
          <w:color w:val="auto"/>
          <w:lang w:val="ro-RO"/>
        </w:rPr>
        <w:t>WD</w:t>
      </w:r>
      <w:r>
        <w:rPr>
          <w:rFonts w:ascii="Times New Roman" w:hAnsi="Times New Roman" w:cs="Times New Roman"/>
          <w:color w:val="auto"/>
          <w:lang w:val="ro-RO"/>
        </w:rPr>
        <w:t xml:space="preserve"> </w:t>
      </w:r>
      <w:r w:rsidRPr="00365582">
        <w:rPr>
          <w:rFonts w:ascii="Times New Roman" w:hAnsi="Times New Roman" w:cs="Times New Roman"/>
          <w:color w:val="auto"/>
          <w:lang w:val="ro-RO"/>
        </w:rPr>
        <w:t xml:space="preserve">(2024) 698 final, </w:t>
      </w:r>
      <w:r w:rsidRPr="00365582">
        <w:rPr>
          <w:rFonts w:ascii="Times New Roman" w:hAnsi="Times New Roman" w:cs="Times New Roman"/>
          <w:color w:val="auto"/>
        </w:rPr>
        <w:t>Communication from the Commission to the European Parliament, the Council, the European Economic and Social Committee and the Committee of Regions</w:t>
      </w:r>
      <w:r w:rsidRPr="00365582">
        <w:t xml:space="preserve"> </w:t>
      </w:r>
      <w:r w:rsidRPr="00365582">
        <w:rPr>
          <w:rFonts w:ascii="Times New Roman" w:hAnsi="Times New Roman" w:cs="Times New Roman"/>
          <w:color w:val="auto"/>
        </w:rPr>
        <w:t>„2024 Communication on EU enlargement policy”, Brussels, 30.10.2024;</w:t>
      </w:r>
    </w:p>
  </w:footnote>
  <w:footnote w:id="7">
    <w:p w14:paraId="15A29B4F" w14:textId="77777777" w:rsidR="00011913" w:rsidRPr="006C132D" w:rsidRDefault="00011913" w:rsidP="00D91B9B">
      <w:pPr>
        <w:pStyle w:val="aa"/>
        <w:rPr>
          <w:rFonts w:ascii="Times New Roman" w:eastAsiaTheme="minorHAnsi" w:hAnsi="Times New Roman" w:cs="Times New Roman"/>
          <w:bCs/>
          <w:iCs/>
          <w:color w:val="auto"/>
          <w:szCs w:val="24"/>
          <w:lang w:val="ro-RO"/>
        </w:rPr>
      </w:pPr>
      <w:r w:rsidRPr="006C132D">
        <w:rPr>
          <w:rStyle w:val="ac"/>
          <w:lang w:val="ro-RO"/>
        </w:rPr>
        <w:footnoteRef/>
      </w:r>
      <w:r w:rsidRPr="006C132D">
        <w:rPr>
          <w:lang w:val="ro-RO"/>
        </w:rPr>
        <w:t xml:space="preserve"> </w:t>
      </w:r>
      <w:r w:rsidRPr="006C132D">
        <w:rPr>
          <w:rFonts w:ascii="Times New Roman" w:eastAsiaTheme="minorHAnsi" w:hAnsi="Times New Roman" w:cs="Times New Roman"/>
          <w:bCs/>
          <w:iCs/>
          <w:color w:val="auto"/>
          <w:szCs w:val="24"/>
          <w:lang w:val="ro-RO"/>
        </w:rPr>
        <w:t>Banca de date statistice, Disponibil:</w:t>
      </w:r>
    </w:p>
    <w:p w14:paraId="1A2CF294" w14:textId="77777777" w:rsidR="00011913" w:rsidRPr="006C132D" w:rsidRDefault="00DD25AE" w:rsidP="00D91B9B">
      <w:pPr>
        <w:pStyle w:val="aa"/>
        <w:rPr>
          <w:lang w:val="ro-RO"/>
        </w:rPr>
      </w:pPr>
      <w:hyperlink r:id="rId3" w:history="1">
        <w:r w:rsidR="00011913" w:rsidRPr="006C132D">
          <w:rPr>
            <w:rStyle w:val="a5"/>
            <w:rFonts w:ascii="Times New Roman" w:eastAsiaTheme="minorHAnsi" w:hAnsi="Times New Roman" w:cs="Times New Roman"/>
            <w:bCs/>
            <w:iCs/>
            <w:szCs w:val="24"/>
            <w:lang w:val="ro-RO"/>
          </w:rPr>
          <w:t>https://statbank.statistica.md/PxWeb/pxweb/ro/10%20Mediul%20inconjurator/10%20Mediul%20inconjurator__MED030/MED030400.px/?rxid=b2ff27d7-0b96-43c9-934b-42e1a2a9a774</w:t>
        </w:r>
      </w:hyperlink>
      <w:r w:rsidR="00011913" w:rsidRPr="006C132D">
        <w:rPr>
          <w:rFonts w:ascii="Times New Roman" w:eastAsiaTheme="minorHAnsi" w:hAnsi="Times New Roman" w:cs="Times New Roman"/>
          <w:bCs/>
          <w:iCs/>
          <w:color w:val="auto"/>
          <w:szCs w:val="24"/>
          <w:lang w:val="ro-RO"/>
        </w:rPr>
        <w:t xml:space="preserve"> </w:t>
      </w:r>
      <w:r w:rsidR="00011913" w:rsidRPr="006C132D">
        <w:rPr>
          <w:sz w:val="16"/>
          <w:lang w:val="ro-RO"/>
        </w:rPr>
        <w:t xml:space="preserve"> </w:t>
      </w:r>
    </w:p>
  </w:footnote>
  <w:footnote w:id="8">
    <w:p w14:paraId="4962D92E" w14:textId="77777777" w:rsidR="00011913" w:rsidRPr="006C132D" w:rsidRDefault="00011913" w:rsidP="00D91B9B">
      <w:pPr>
        <w:pStyle w:val="aa"/>
        <w:tabs>
          <w:tab w:val="left" w:pos="0"/>
        </w:tabs>
        <w:jc w:val="both"/>
        <w:rPr>
          <w:lang w:val="ro-RO"/>
        </w:rPr>
      </w:pPr>
      <w:r w:rsidRPr="006C132D">
        <w:rPr>
          <w:rStyle w:val="ac"/>
          <w:lang w:val="ro-RO"/>
        </w:rPr>
        <w:footnoteRef/>
      </w:r>
      <w:hyperlink r:id="rId4" w:history="1">
        <w:r w:rsidRPr="006C132D">
          <w:rPr>
            <w:rStyle w:val="a5"/>
            <w:rFonts w:ascii="Times New Roman" w:hAnsi="Times New Roman" w:cs="Times New Roman"/>
            <w:i/>
            <w:lang w:val="ro-RO"/>
          </w:rPr>
          <w:t>https://commission.europa.eu/strategy-and-policy/priorities-2019-2024/european-green-deal/transport-and-green-deal_ro</w:t>
        </w:r>
      </w:hyperlink>
      <w:r w:rsidRPr="006C132D">
        <w:rPr>
          <w:rFonts w:ascii="Times New Roman" w:hAnsi="Times New Roman" w:cs="Times New Roman"/>
          <w:i/>
          <w:lang w:val="ro-RO"/>
        </w:rPr>
        <w:t xml:space="preserve"> </w:t>
      </w:r>
    </w:p>
  </w:footnote>
  <w:footnote w:id="9">
    <w:p w14:paraId="70328323" w14:textId="77777777" w:rsidR="00011913" w:rsidRPr="006C132D" w:rsidRDefault="00011913" w:rsidP="00D91B9B">
      <w:pPr>
        <w:pStyle w:val="aa"/>
        <w:rPr>
          <w:lang w:val="ro-RO"/>
        </w:rPr>
      </w:pPr>
      <w:r w:rsidRPr="006C132D">
        <w:rPr>
          <w:rStyle w:val="ac"/>
          <w:lang w:val="ro-RO"/>
        </w:rPr>
        <w:footnoteRef/>
      </w:r>
      <w:r w:rsidRPr="006C132D">
        <w:rPr>
          <w:lang w:val="ro-RO"/>
        </w:rPr>
        <w:t xml:space="preserve"> </w:t>
      </w:r>
      <w:r w:rsidRPr="006C132D">
        <w:rPr>
          <w:rFonts w:ascii="Times New Roman" w:hAnsi="Times New Roman" w:cs="Times New Roman"/>
          <w:color w:val="auto"/>
          <w:lang w:val="ro-RO"/>
        </w:rPr>
        <w:t>COM(2019) 640 final, Comunicare a Comisiei „Pactul ecologic european”, Bruxelles 11.12.2019;</w:t>
      </w:r>
    </w:p>
  </w:footnote>
  <w:footnote w:id="10">
    <w:p w14:paraId="5CDDD637" w14:textId="77777777" w:rsidR="00011913" w:rsidRPr="006C132D" w:rsidRDefault="00011913" w:rsidP="00D91B9B">
      <w:pPr>
        <w:pStyle w:val="aa"/>
        <w:rPr>
          <w:lang w:val="ro-RO"/>
        </w:rPr>
      </w:pPr>
      <w:r w:rsidRPr="006C132D">
        <w:rPr>
          <w:rStyle w:val="ac"/>
          <w:lang w:val="ro-RO"/>
        </w:rPr>
        <w:footnoteRef/>
      </w:r>
      <w:r w:rsidRPr="006C132D">
        <w:rPr>
          <w:lang w:val="ro-RO"/>
        </w:rPr>
        <w:t xml:space="preserve"> </w:t>
      </w:r>
      <w:r w:rsidRPr="006C132D">
        <w:rPr>
          <w:rFonts w:ascii="Times New Roman" w:hAnsi="Times New Roman" w:cs="Times New Roman"/>
          <w:color w:val="auto"/>
          <w:lang w:val="ro-RO"/>
        </w:rPr>
        <w:t>Recomandarea nr. 1/2022 a Consiliului de Asociere UE-Republica Moldova din 22 august 2022 privind Programul de asociere UE-Republica Moldova [2022/1997] Disponibil:</w:t>
      </w:r>
      <w:r w:rsidRPr="006C132D">
        <w:rPr>
          <w:rFonts w:ascii="Times New Roman" w:hAnsi="Times New Roman" w:cs="Times New Roman"/>
          <w:bCs/>
          <w:lang w:val="ro-RO"/>
        </w:rPr>
        <w:t xml:space="preserve"> </w:t>
      </w:r>
      <w:hyperlink r:id="rId5" w:history="1">
        <w:r w:rsidRPr="00F21F31">
          <w:rPr>
            <w:rStyle w:val="a5"/>
            <w:rFonts w:ascii="Times New Roman" w:hAnsi="Times New Roman" w:cs="Times New Roman"/>
            <w:bCs/>
            <w:i/>
            <w:iCs/>
            <w:lang w:val="ro-RO"/>
          </w:rPr>
          <w:t>https://eur-lex.europa.eu/legal-content/RO/TXT/PDF/?uri=CELEX:22022D1997&amp;from=EN</w:t>
        </w:r>
      </w:hyperlink>
    </w:p>
  </w:footnote>
  <w:footnote w:id="11">
    <w:p w14:paraId="456FE99A" w14:textId="77777777" w:rsidR="00011913" w:rsidRPr="006C132D" w:rsidRDefault="00011913" w:rsidP="00D91B9B">
      <w:pPr>
        <w:pStyle w:val="aa"/>
        <w:jc w:val="both"/>
        <w:rPr>
          <w:rFonts w:ascii="Times New Roman" w:hAnsi="Times New Roman" w:cs="Times New Roman"/>
          <w:color w:val="auto"/>
          <w:lang w:val="ro-RO"/>
        </w:rPr>
      </w:pPr>
      <w:r w:rsidRPr="006C132D">
        <w:rPr>
          <w:rStyle w:val="ac"/>
          <w:lang w:val="ro-RO"/>
        </w:rPr>
        <w:footnoteRef/>
      </w:r>
      <w:r w:rsidRPr="006C132D">
        <w:rPr>
          <w:lang w:val="ro-RO"/>
        </w:rPr>
        <w:t xml:space="preserve"> </w:t>
      </w:r>
      <w:r w:rsidRPr="006C132D">
        <w:rPr>
          <w:rFonts w:ascii="Times New Roman" w:hAnsi="Times New Roman" w:cs="Times New Roman"/>
          <w:color w:val="auto"/>
          <w:lang w:val="ro-RO"/>
        </w:rPr>
        <w:t xml:space="preserve">COM (2022) 230 final din 18.05.2022, Bruxelles, Comunicarea Comisiei către Parlamentul European, Consiliul European, Comitetul Economic și Social European și Comitetul Regiunilor, Planul REPowerEU </w:t>
      </w:r>
    </w:p>
  </w:footnote>
  <w:footnote w:id="12">
    <w:p w14:paraId="716188D1" w14:textId="77777777" w:rsidR="00011913" w:rsidRPr="006C132D" w:rsidRDefault="00011913" w:rsidP="00D91B9B">
      <w:pPr>
        <w:pStyle w:val="aa"/>
        <w:jc w:val="both"/>
        <w:rPr>
          <w:rFonts w:ascii="Times New Roman" w:hAnsi="Times New Roman" w:cs="Times New Roman"/>
          <w:color w:val="auto"/>
          <w:lang w:val="ro-RO"/>
        </w:rPr>
      </w:pPr>
      <w:r w:rsidRPr="006C132D">
        <w:rPr>
          <w:rStyle w:val="ac"/>
          <w:lang w:val="ro-RO"/>
        </w:rPr>
        <w:footnoteRef/>
      </w:r>
      <w:r w:rsidRPr="006C132D">
        <w:rPr>
          <w:lang w:val="ro-RO"/>
        </w:rPr>
        <w:t xml:space="preserve"> </w:t>
      </w:r>
      <w:r w:rsidRPr="006C132D">
        <w:rPr>
          <w:rFonts w:ascii="Times New Roman" w:hAnsi="Times New Roman" w:cs="Times New Roman"/>
          <w:color w:val="auto"/>
          <w:lang w:val="ro-RO"/>
        </w:rPr>
        <w:t>COM (2022) 240 final din 18.05.2022, Bruxelles. Comunicare a Comisiei către Parlamentul European, Consiliul, Comitetul Economic și Social European și Comitetul Regiunilor, Planul UE „Economii de energie”</w:t>
      </w:r>
    </w:p>
    <w:p w14:paraId="45CAABE4" w14:textId="77777777" w:rsidR="00011913" w:rsidRPr="006C132D" w:rsidRDefault="00011913" w:rsidP="00D91B9B">
      <w:pPr>
        <w:pStyle w:val="aa"/>
        <w:rPr>
          <w:lang w:val="ro-RO"/>
        </w:rPr>
      </w:pPr>
    </w:p>
  </w:footnote>
  <w:footnote w:id="13">
    <w:p w14:paraId="46FD4A6D" w14:textId="705A95C6" w:rsidR="00011913" w:rsidRPr="009E296E" w:rsidRDefault="00011913" w:rsidP="009E296E">
      <w:pPr>
        <w:pStyle w:val="aa"/>
        <w:jc w:val="both"/>
        <w:rPr>
          <w:lang w:val="ro-RO"/>
        </w:rPr>
      </w:pPr>
      <w:r>
        <w:rPr>
          <w:rStyle w:val="ac"/>
        </w:rPr>
        <w:footnoteRef/>
      </w:r>
      <w:r w:rsidRPr="009E296E">
        <w:rPr>
          <w:lang w:val="ro-RO"/>
        </w:rPr>
        <w:t xml:space="preserve"> </w:t>
      </w:r>
      <w:r w:rsidRPr="009E296E">
        <w:rPr>
          <w:rFonts w:ascii="Times New Roman" w:hAnsi="Times New Roman" w:cs="Times New Roman"/>
          <w:color w:val="auto"/>
          <w:lang w:val="ro-RO"/>
        </w:rPr>
        <w:t>Comunicarea Comisiei nr. 2020/C 352/01 privind aplicarea articolelor 2, 3, 4 și 5 din Directiva 2009/33/CE a Parlamentului European și a Consiliului privind promovarea vehiculelor de transport rutier nepoluante în sprijinul unei mobilități cu emisii scăzute</w:t>
      </w:r>
    </w:p>
  </w:footnote>
  <w:footnote w:id="14">
    <w:p w14:paraId="78E9EE1D" w14:textId="77777777" w:rsidR="00011913" w:rsidRPr="00A16ED7" w:rsidRDefault="00011913" w:rsidP="0003488E">
      <w:pPr>
        <w:pStyle w:val="aa"/>
        <w:rPr>
          <w:lang w:val="ro-RO"/>
        </w:rPr>
      </w:pPr>
      <w:r>
        <w:rPr>
          <w:rStyle w:val="ac"/>
        </w:rPr>
        <w:footnoteRef/>
      </w:r>
      <w:r w:rsidRPr="00A16ED7">
        <w:rPr>
          <w:lang w:val="ro-RO"/>
        </w:rPr>
        <w:t xml:space="preserve"> </w:t>
      </w:r>
      <w:r w:rsidRPr="00057127">
        <w:rPr>
          <w:lang w:val="ro-RO"/>
        </w:rPr>
        <w:t>https://eur-lex.europa.eu/legal-content/EN/TXT/HTML/?uri=CELEX:52017SC0366</w:t>
      </w:r>
    </w:p>
  </w:footnote>
  <w:footnote w:id="15">
    <w:p w14:paraId="6B6E90E6" w14:textId="0FB129D7" w:rsidR="00011913" w:rsidRPr="005B6305" w:rsidRDefault="00011913" w:rsidP="009164B4">
      <w:pPr>
        <w:pStyle w:val="aa"/>
        <w:jc w:val="both"/>
        <w:rPr>
          <w:rFonts w:ascii="Times New Roman" w:hAnsi="Times New Roman" w:cs="Times New Roman"/>
          <w:color w:val="auto"/>
          <w:lang w:val="ro-MD"/>
        </w:rPr>
      </w:pPr>
      <w:r w:rsidRPr="005B6305">
        <w:rPr>
          <w:rStyle w:val="ac"/>
          <w:color w:val="auto"/>
          <w:lang w:val="ro-MD"/>
        </w:rPr>
        <w:footnoteRef/>
      </w:r>
      <w:r w:rsidRPr="005B6305">
        <w:rPr>
          <w:lang w:val="ro-MD"/>
        </w:rPr>
        <w:t xml:space="preserve"> </w:t>
      </w:r>
      <w:r w:rsidRPr="009164B4">
        <w:rPr>
          <w:rFonts w:ascii="Times New Roman" w:eastAsiaTheme="minorHAnsi" w:hAnsi="Times New Roman" w:cs="Times New Roman"/>
          <w:color w:val="auto"/>
          <w:lang w:val="ro-MD"/>
        </w:rPr>
        <w:t>Ordonanța de Urgență</w:t>
      </w:r>
      <w:r w:rsidRPr="005B6305">
        <w:rPr>
          <w:rFonts w:ascii="Calibri" w:hAnsi="Calibri" w:cs="Calibri"/>
          <w:lang w:val="ro-MD"/>
        </w:rPr>
        <w:t xml:space="preserve"> </w:t>
      </w:r>
      <w:r w:rsidRPr="005B6305">
        <w:rPr>
          <w:rFonts w:ascii="Times New Roman" w:hAnsi="Times New Roman" w:cs="Times New Roman"/>
          <w:color w:val="auto"/>
          <w:lang w:val="ro-MD"/>
        </w:rPr>
        <w:t>nr. 71 din 29 iunie 2021 privind promovarea vehiculelor de transport rutier nepoluante, în sprijinul unei mobilități cu emisii scăzute, pentru abrogarea Ordonanței de urgență a Guvernului nr. 40/2011 privind promovarea vehiculelor de transport rutier nepoluante și eficiente din punct de vedere energetic și a Legii nr. 37/2018 privind promovarea transportului ecologic. Disponibil:</w:t>
      </w:r>
      <w:r w:rsidRPr="005B6305">
        <w:rPr>
          <w:lang w:val="ro-MD"/>
        </w:rPr>
        <w:t xml:space="preserve"> </w:t>
      </w:r>
      <w:hyperlink r:id="rId6" w:history="1">
        <w:r w:rsidRPr="005B6305">
          <w:rPr>
            <w:rStyle w:val="a5"/>
            <w:rFonts w:ascii="Times New Roman" w:hAnsi="Times New Roman" w:cs="Times New Roman"/>
            <w:i/>
            <w:lang w:val="ro-MD"/>
          </w:rPr>
          <w:t>https://anap.gov.ro/web/ordonanta-de-urgenta-nr-71-din-29-iunie-2021-privind-promovarea-vehiculelor-de-transport-rutier-nepoluante-in-sprijinul-unei-mobilitati-cu-emisii-scazute</w:t>
        </w:r>
        <w:r w:rsidRPr="005B6305">
          <w:rPr>
            <w:rStyle w:val="a5"/>
            <w:rFonts w:ascii="Times New Roman" w:hAnsi="Times New Roman" w:cs="Times New Roman"/>
            <w:lang w:val="ro-MD"/>
          </w:rPr>
          <w:t>/</w:t>
        </w:r>
      </w:hyperlink>
      <w:r w:rsidRPr="005B6305">
        <w:rPr>
          <w:rFonts w:ascii="Times New Roman" w:hAnsi="Times New Roman" w:cs="Times New Roman"/>
          <w:color w:val="auto"/>
          <w:lang w:val="ro-MD"/>
        </w:rPr>
        <w:t xml:space="preserve"> ;</w:t>
      </w:r>
    </w:p>
  </w:footnote>
  <w:footnote w:id="16">
    <w:p w14:paraId="1F0E6E21" w14:textId="575D0971" w:rsidR="00011913" w:rsidRPr="005B6305" w:rsidRDefault="00011913" w:rsidP="009164B4">
      <w:pPr>
        <w:pStyle w:val="aa"/>
        <w:jc w:val="both"/>
        <w:rPr>
          <w:lang w:val="ro-MD"/>
        </w:rPr>
      </w:pPr>
      <w:r w:rsidRPr="005B6305">
        <w:rPr>
          <w:rStyle w:val="ac"/>
          <w:color w:val="auto"/>
          <w:lang w:val="ro-MD"/>
        </w:rPr>
        <w:footnoteRef/>
      </w:r>
      <w:r w:rsidRPr="005B6305">
        <w:rPr>
          <w:color w:val="auto"/>
          <w:lang w:val="ro-MD"/>
        </w:rPr>
        <w:t xml:space="preserve"> </w:t>
      </w:r>
      <w:r w:rsidRPr="005B6305">
        <w:rPr>
          <w:rFonts w:ascii="Times New Roman" w:hAnsi="Times New Roman" w:cs="Times New Roman"/>
          <w:color w:val="auto"/>
          <w:lang w:val="ro-MD"/>
        </w:rPr>
        <w:t xml:space="preserve">Lag (2011:846) om miljökrav vid upphandling av bilar och vissa tjänster inom vägtransportområdet. Disponibil: </w:t>
      </w:r>
      <w:hyperlink r:id="rId7" w:history="1">
        <w:r w:rsidRPr="005B6305">
          <w:rPr>
            <w:rStyle w:val="a5"/>
            <w:rFonts w:ascii="Times New Roman" w:hAnsi="Times New Roman" w:cs="Times New Roman"/>
            <w:i/>
            <w:lang w:val="ro-MD"/>
          </w:rPr>
          <w:t>https://www.riksdagen.se/sv/dokument-och-lagar/dokument/svensk-forfattningssamling/lag-2011846-om-miljokrav-vid-upphandling-av_sfs-2011-846/</w:t>
        </w:r>
      </w:hyperlink>
      <w:r w:rsidRPr="005B6305">
        <w:rPr>
          <w:rFonts w:ascii="Times New Roman" w:hAnsi="Times New Roman" w:cs="Times New Roman"/>
          <w:color w:val="auto"/>
          <w:lang w:val="ro-MD"/>
        </w:rPr>
        <w:t xml:space="preserve"> ;</w:t>
      </w:r>
    </w:p>
  </w:footnote>
  <w:footnote w:id="17">
    <w:p w14:paraId="797D24FA" w14:textId="45D54678" w:rsidR="00011913" w:rsidRPr="005B6305" w:rsidRDefault="00011913" w:rsidP="00F21F31">
      <w:pPr>
        <w:pStyle w:val="aa"/>
        <w:jc w:val="both"/>
        <w:rPr>
          <w:sz w:val="18"/>
          <w:szCs w:val="18"/>
          <w:lang w:val="ro-MD"/>
        </w:rPr>
      </w:pPr>
      <w:r w:rsidRPr="005B6305">
        <w:rPr>
          <w:rStyle w:val="ac"/>
          <w:color w:val="auto"/>
          <w:lang w:val="ro-MD"/>
        </w:rPr>
        <w:footnoteRef/>
      </w:r>
      <w:r w:rsidRPr="005B6305">
        <w:rPr>
          <w:lang w:val="ro-MD"/>
        </w:rPr>
        <w:t xml:space="preserve"> </w:t>
      </w:r>
      <w:r w:rsidRPr="005B6305">
        <w:rPr>
          <w:rFonts w:ascii="Times New Roman" w:hAnsi="Times New Roman" w:cs="Times New Roman"/>
          <w:color w:val="auto"/>
          <w:lang w:val="ro-MD"/>
        </w:rPr>
        <w:t>ZÁKON zo 4. mája 2021 o podpore ekologických vozidiel cestnej dopravy a o zmene a doplnení niektorých zákonov. Disponibil</w:t>
      </w:r>
      <w:r w:rsidRPr="005B6305">
        <w:rPr>
          <w:rFonts w:ascii="Times New Roman" w:hAnsi="Times New Roman" w:cs="Times New Roman"/>
          <w:lang w:val="ro-MD"/>
        </w:rPr>
        <w:t xml:space="preserve">: </w:t>
      </w:r>
      <w:hyperlink r:id="rId8" w:history="1">
        <w:r w:rsidRPr="005B6305">
          <w:rPr>
            <w:rStyle w:val="a5"/>
            <w:rFonts w:ascii="Times New Roman" w:hAnsi="Times New Roman" w:cs="Times New Roman"/>
            <w:lang w:val="ro-MD"/>
          </w:rPr>
          <w:t>https://www.zakonypreludi.sk/zz/2021-214</w:t>
        </w:r>
      </w:hyperlink>
      <w:r w:rsidRPr="005B6305">
        <w:rPr>
          <w:rFonts w:ascii="Times New Roman" w:hAnsi="Times New Roman" w:cs="Times New Roman"/>
          <w:lang w:val="ro-MD"/>
        </w:rPr>
        <w:t xml:space="preserve"> ;</w:t>
      </w:r>
    </w:p>
  </w:footnote>
  <w:footnote w:id="18">
    <w:p w14:paraId="5336D5D7" w14:textId="206A8B3B" w:rsidR="00011913" w:rsidRPr="005B6305" w:rsidRDefault="00011913" w:rsidP="00F21F31">
      <w:pPr>
        <w:pStyle w:val="aa"/>
        <w:jc w:val="both"/>
        <w:rPr>
          <w:rFonts w:ascii="Times New Roman" w:hAnsi="Times New Roman" w:cs="Times New Roman"/>
          <w:color w:val="auto"/>
          <w:lang w:val="ro-MD"/>
        </w:rPr>
      </w:pPr>
      <w:r w:rsidRPr="005B6305">
        <w:rPr>
          <w:rStyle w:val="ac"/>
          <w:lang w:val="ro-MD"/>
        </w:rPr>
        <w:footnoteRef/>
      </w:r>
      <w:r w:rsidRPr="005B6305">
        <w:rPr>
          <w:lang w:val="ro-MD"/>
        </w:rPr>
        <w:t xml:space="preserve"> </w:t>
      </w:r>
      <w:r w:rsidRPr="005B6305">
        <w:rPr>
          <w:rFonts w:ascii="Times New Roman" w:hAnsi="Times New Roman" w:cs="Times New Roman"/>
          <w:color w:val="auto"/>
          <w:lang w:val="ro-MD"/>
        </w:rPr>
        <w:t xml:space="preserve">DECREE LAW No. </w:t>
      </w:r>
      <w:r w:rsidRPr="005B6305">
        <w:rPr>
          <w:rFonts w:ascii="Times New Roman" w:hAnsi="Times New Roman" w:cs="Times New Roman"/>
          <w:color w:val="auto"/>
          <w:lang w:val="ro-MD"/>
        </w:rPr>
        <w:t xml:space="preserve">140/2010 introduces the European Directive 2009/33/CE into the Portuguese law. Disponibil: </w:t>
      </w:r>
      <w:hyperlink r:id="rId9" w:history="1">
        <w:r w:rsidRPr="005B6305">
          <w:rPr>
            <w:rStyle w:val="a5"/>
            <w:rFonts w:ascii="Times New Roman" w:hAnsi="Times New Roman" w:cs="Times New Roman"/>
            <w:i/>
            <w:lang w:val="ro-MD"/>
          </w:rPr>
          <w:t>https://diariodarepublica.pt/dr/en/detail/decree-law/140-2010-306594</w:t>
        </w:r>
      </w:hyperlink>
      <w:r w:rsidRPr="005B6305">
        <w:rPr>
          <w:rFonts w:ascii="Times New Roman" w:hAnsi="Times New Roman" w:cs="Times New Roman"/>
          <w:color w:val="auto"/>
          <w:lang w:val="ro-MD"/>
        </w:rPr>
        <w:t xml:space="preserve"> ; </w:t>
      </w:r>
    </w:p>
  </w:footnote>
  <w:footnote w:id="19">
    <w:p w14:paraId="4E657D4A" w14:textId="53D95B61" w:rsidR="00011913" w:rsidRPr="005B6305" w:rsidRDefault="00011913">
      <w:pPr>
        <w:pStyle w:val="aa"/>
        <w:rPr>
          <w:lang w:val="ro-MD"/>
        </w:rPr>
      </w:pPr>
      <w:r w:rsidRPr="005B6305">
        <w:rPr>
          <w:rStyle w:val="ac"/>
          <w:lang w:val="ro-MD"/>
        </w:rPr>
        <w:footnoteRef/>
      </w:r>
      <w:r w:rsidRPr="005B6305">
        <w:rPr>
          <w:lang w:val="ro-MD"/>
        </w:rPr>
        <w:t xml:space="preserve"> </w:t>
      </w:r>
      <w:r w:rsidRPr="005B6305">
        <w:rPr>
          <w:rFonts w:ascii="Times New Roman" w:hAnsi="Times New Roman" w:cs="Times New Roman"/>
          <w:color w:val="auto"/>
          <w:lang w:val="ro-MD"/>
        </w:rPr>
        <w:t xml:space="preserve">Attuazione della direttiva 2009/33/CE relativa alla promozione di veicoli a ridotto impatto ambientale e a basso consumo energetico nel trasporto su strada, 2011. Disponibil: </w:t>
      </w:r>
      <w:hyperlink r:id="rId10" w:history="1">
        <w:r w:rsidRPr="005B6305">
          <w:rPr>
            <w:rStyle w:val="a5"/>
            <w:rFonts w:ascii="Times New Roman" w:hAnsi="Times New Roman" w:cs="Times New Roman"/>
            <w:i/>
            <w:lang w:val="ro-MD"/>
          </w:rPr>
          <w:t>https://www.gazzettaufficiale.it/gunewsletter/dettaglio.jsp?service=1&amp;datagu=2011-03-24&amp;task=dettaglio&amp;numgu=68&amp;redaz=011G0063&amp;tmstp=1301302373955</w:t>
        </w:r>
      </w:hyperlink>
      <w:r w:rsidRPr="005B6305">
        <w:rPr>
          <w:color w:val="auto"/>
          <w:lang w:val="ro-MD"/>
        </w:rPr>
        <w:t xml:space="preserve"> ;</w:t>
      </w:r>
    </w:p>
  </w:footnote>
  <w:footnote w:id="20">
    <w:p w14:paraId="676D6B77" w14:textId="640FEE44" w:rsidR="00011913" w:rsidRPr="009164B4" w:rsidRDefault="00011913" w:rsidP="00F21F31">
      <w:pPr>
        <w:pStyle w:val="aa"/>
        <w:jc w:val="both"/>
        <w:rPr>
          <w:lang w:val="ro-RO"/>
        </w:rPr>
      </w:pPr>
      <w:r w:rsidRPr="005B6305">
        <w:rPr>
          <w:rStyle w:val="ac"/>
          <w:lang w:val="ro-MD"/>
        </w:rPr>
        <w:footnoteRef/>
      </w:r>
      <w:r w:rsidRPr="005B6305">
        <w:rPr>
          <w:lang w:val="ro-MD"/>
        </w:rPr>
        <w:t xml:space="preserve"> </w:t>
      </w:r>
      <w:r w:rsidRPr="005B6305">
        <w:rPr>
          <w:rFonts w:ascii="Times New Roman" w:hAnsi="Times New Roman" w:cs="Times New Roman"/>
          <w:color w:val="auto"/>
          <w:lang w:val="ro-MD"/>
        </w:rPr>
        <w:t xml:space="preserve">Laki ajoneuvojen energia- ja ympäristövaikutusten huomioon ottamisesta julkisissa hankinnoissa, 2011. Disponibil: </w:t>
      </w:r>
      <w:hyperlink r:id="rId11" w:history="1">
        <w:r w:rsidRPr="005B6305">
          <w:rPr>
            <w:rStyle w:val="a5"/>
            <w:rFonts w:ascii="Times New Roman" w:hAnsi="Times New Roman" w:cs="Times New Roman"/>
            <w:i/>
            <w:lang w:val="ro-MD"/>
          </w:rPr>
          <w:t>https://www.eduskunta.fi/FI/vaski/EduskunnanVastaus/Documents/ev_96+2011.pdf</w:t>
        </w:r>
      </w:hyperlink>
      <w:r w:rsidRPr="005B6305">
        <w:rPr>
          <w:rFonts w:ascii="Times New Roman" w:hAnsi="Times New Roman" w:cs="Times New Roman"/>
          <w:color w:val="auto"/>
          <w:lang w:val="ro-MD"/>
        </w:rPr>
        <w:t xml:space="preserve"> .</w:t>
      </w:r>
    </w:p>
  </w:footnote>
  <w:footnote w:id="21">
    <w:p w14:paraId="0B312E4F" w14:textId="77777777" w:rsidR="00011913" w:rsidRPr="00485D4D" w:rsidRDefault="00011913" w:rsidP="00D91B9B">
      <w:pPr>
        <w:pStyle w:val="aa"/>
        <w:jc w:val="both"/>
        <w:rPr>
          <w:lang w:val="ro-RO"/>
        </w:rPr>
      </w:pPr>
      <w:r w:rsidRPr="006C132D">
        <w:rPr>
          <w:rStyle w:val="ac"/>
          <w:lang w:val="ro-RO"/>
        </w:rPr>
        <w:footnoteRef/>
      </w:r>
      <w:r w:rsidRPr="006C132D">
        <w:rPr>
          <w:lang w:val="ro-RO"/>
        </w:rPr>
        <w:t xml:space="preserve"> </w:t>
      </w:r>
      <w:r w:rsidRPr="006C132D">
        <w:rPr>
          <w:rFonts w:ascii="Times New Roman" w:hAnsi="Times New Roman" w:cs="Times New Roman"/>
          <w:color w:val="auto"/>
          <w:lang w:val="ro-RO"/>
        </w:rPr>
        <w:t xml:space="preserve">Analiza implementării prevederilor privind transportul public din Acordul de asociere UE-Moldova, elaborat în cadrul Proiectului „MOVE IT Like Lublin – a Chisinau public transport sustainable development initiative”, “CRAYS Consulting” SRL cu suportul financiar al Uniunii Europene. Chișinău, ianuarie 2022, </w:t>
      </w:r>
    </w:p>
  </w:footnote>
  <w:footnote w:id="22">
    <w:p w14:paraId="78CA566D" w14:textId="77777777" w:rsidR="00011913" w:rsidRPr="006F1D31" w:rsidRDefault="00011913" w:rsidP="00D91B9B">
      <w:pPr>
        <w:pStyle w:val="aa"/>
        <w:jc w:val="both"/>
        <w:rPr>
          <w:rFonts w:ascii="Times New Roman" w:hAnsi="Times New Roman" w:cs="Times New Roman"/>
          <w:color w:val="auto"/>
          <w:lang w:val="es-ES"/>
        </w:rPr>
      </w:pPr>
      <w:r w:rsidRPr="006375B7">
        <w:rPr>
          <w:rStyle w:val="ac"/>
          <w:rFonts w:ascii="Times New Roman" w:hAnsi="Times New Roman" w:cs="Times New Roman"/>
          <w:color w:val="auto"/>
        </w:rPr>
        <w:footnoteRef/>
      </w:r>
      <w:r w:rsidRPr="00924821">
        <w:rPr>
          <w:rFonts w:ascii="Times New Roman" w:hAnsi="Times New Roman" w:cs="Times New Roman"/>
          <w:bCs/>
          <w:color w:val="auto"/>
          <w:lang w:val="ro-RO"/>
        </w:rPr>
        <w:t xml:space="preserve">COM(2020)789 </w:t>
      </w:r>
      <w:r w:rsidRPr="00924821">
        <w:rPr>
          <w:rFonts w:ascii="Times New Roman" w:hAnsi="Times New Roman" w:cs="Times New Roman"/>
          <w:color w:val="auto"/>
          <w:lang w:val="ro-RO"/>
        </w:rPr>
        <w:t>final din 9.12.2020, Bruxelles. Comunicare a Comisiei către Parlamentul European, Consiliul, Comitetul Economic și Social European și Comitetul Regiunilor, Strategia pentru o mobilitate sustenabilă și inteligentă – înscrierea transporturilor europene pe calea viitorului</w:t>
      </w:r>
    </w:p>
  </w:footnote>
  <w:footnote w:id="23">
    <w:p w14:paraId="0562899D" w14:textId="77777777" w:rsidR="00011913" w:rsidRPr="00D002B3" w:rsidRDefault="00011913" w:rsidP="00D91B9B">
      <w:pPr>
        <w:pStyle w:val="aa"/>
        <w:jc w:val="both"/>
        <w:rPr>
          <w:rFonts w:ascii="Times New Roman" w:hAnsi="Times New Roman" w:cs="Times New Roman"/>
          <w:bCs/>
          <w:color w:val="auto"/>
          <w:lang w:val="ro-RO"/>
        </w:rPr>
      </w:pPr>
      <w:r>
        <w:rPr>
          <w:rStyle w:val="ac"/>
        </w:rPr>
        <w:footnoteRef/>
      </w:r>
      <w:r w:rsidRPr="00D002B3">
        <w:rPr>
          <w:lang w:val="es-ES"/>
        </w:rPr>
        <w:t xml:space="preserve"> </w:t>
      </w:r>
      <w:r w:rsidRPr="00D002B3">
        <w:rPr>
          <w:rFonts w:ascii="Times New Roman" w:hAnsi="Times New Roman" w:cs="Times New Roman"/>
          <w:bCs/>
          <w:color w:val="auto"/>
          <w:lang w:val="ro-RO"/>
        </w:rPr>
        <w:t>SWD(2021) 296 final</w:t>
      </w:r>
      <w:r>
        <w:rPr>
          <w:rFonts w:ascii="Times New Roman" w:hAnsi="Times New Roman" w:cs="Times New Roman"/>
          <w:bCs/>
          <w:color w:val="auto"/>
          <w:lang w:val="ro-RO"/>
        </w:rPr>
        <w:t xml:space="preserve"> </w:t>
      </w:r>
      <w:r w:rsidRPr="00D002B3">
        <w:rPr>
          <w:rFonts w:ascii="Times New Roman" w:hAnsi="Times New Roman" w:cs="Times New Roman"/>
          <w:bCs/>
          <w:color w:val="auto"/>
          <w:lang w:val="ro-RO"/>
        </w:rPr>
        <w:t>Document de lucru al serviciilor comisiei</w:t>
      </w:r>
      <w:r>
        <w:rPr>
          <w:rFonts w:ascii="Times New Roman" w:hAnsi="Times New Roman" w:cs="Times New Roman"/>
          <w:bCs/>
          <w:color w:val="auto"/>
          <w:lang w:val="ro-RO"/>
        </w:rPr>
        <w:t xml:space="preserve"> „</w:t>
      </w:r>
      <w:r w:rsidRPr="00D002B3">
        <w:rPr>
          <w:rFonts w:ascii="Times New Roman" w:hAnsi="Times New Roman" w:cs="Times New Roman"/>
          <w:bCs/>
          <w:color w:val="auto"/>
          <w:lang w:val="ro-RO"/>
        </w:rPr>
        <w:t>Criteriile UE privind achizițiile publice verzi în domeniul transportului rutier</w:t>
      </w:r>
      <w:r>
        <w:rPr>
          <w:rFonts w:ascii="Times New Roman" w:hAnsi="Times New Roman" w:cs="Times New Roman"/>
          <w:bCs/>
          <w:color w:val="auto"/>
          <w:lang w:val="ro-RO"/>
        </w:rPr>
        <w:t xml:space="preserve">”, </w:t>
      </w:r>
      <w:r w:rsidRPr="00D002B3">
        <w:rPr>
          <w:rFonts w:ascii="Times New Roman" w:hAnsi="Times New Roman" w:cs="Times New Roman"/>
          <w:bCs/>
          <w:color w:val="auto"/>
          <w:lang w:val="ro-RO"/>
        </w:rPr>
        <w:t>Bruxelles, 18.10.2021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FDF"/>
    <w:multiLevelType w:val="hybridMultilevel"/>
    <w:tmpl w:val="9414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24EAE"/>
    <w:multiLevelType w:val="hybridMultilevel"/>
    <w:tmpl w:val="39BA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44E9C"/>
    <w:multiLevelType w:val="hybridMultilevel"/>
    <w:tmpl w:val="E090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A262D"/>
    <w:multiLevelType w:val="hybridMultilevel"/>
    <w:tmpl w:val="84CCF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A6D12"/>
    <w:multiLevelType w:val="hybridMultilevel"/>
    <w:tmpl w:val="5486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F7736"/>
    <w:multiLevelType w:val="hybridMultilevel"/>
    <w:tmpl w:val="40DA47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06911"/>
    <w:multiLevelType w:val="hybridMultilevel"/>
    <w:tmpl w:val="0ACE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D018E"/>
    <w:multiLevelType w:val="hybridMultilevel"/>
    <w:tmpl w:val="B858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77B68"/>
    <w:multiLevelType w:val="hybridMultilevel"/>
    <w:tmpl w:val="751E97CE"/>
    <w:lvl w:ilvl="0" w:tplc="04090001">
      <w:start w:val="1"/>
      <w:numFmt w:val="bullet"/>
      <w:lvlText w:val=""/>
      <w:lvlJc w:val="left"/>
      <w:pPr>
        <w:ind w:left="720" w:hanging="360"/>
      </w:pPr>
      <w:rPr>
        <w:rFonts w:ascii="Symbol" w:hAnsi="Symbol" w:hint="default"/>
        <w:sz w:val="20"/>
      </w:rPr>
    </w:lvl>
    <w:lvl w:ilvl="1" w:tplc="D512BE74">
      <w:numFmt w:val="bullet"/>
      <w:lvlText w:val="-"/>
      <w:lvlJc w:val="left"/>
      <w:pPr>
        <w:ind w:left="1440" w:hanging="360"/>
      </w:pPr>
      <w:rPr>
        <w:rFonts w:ascii="Times New Roman" w:eastAsiaTheme="minorHAnsi" w:hAnsi="Times New Roman"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818F6"/>
    <w:multiLevelType w:val="hybridMultilevel"/>
    <w:tmpl w:val="73C24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9E21AB"/>
    <w:multiLevelType w:val="hybridMultilevel"/>
    <w:tmpl w:val="25800BB6"/>
    <w:lvl w:ilvl="0" w:tplc="E3A84C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15E95"/>
    <w:multiLevelType w:val="hybridMultilevel"/>
    <w:tmpl w:val="A3B0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71E03"/>
    <w:multiLevelType w:val="hybridMultilevel"/>
    <w:tmpl w:val="008082A6"/>
    <w:lvl w:ilvl="0" w:tplc="20AAA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160CA"/>
    <w:multiLevelType w:val="hybridMultilevel"/>
    <w:tmpl w:val="FAC6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D0D75"/>
    <w:multiLevelType w:val="hybridMultilevel"/>
    <w:tmpl w:val="2986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13598"/>
    <w:multiLevelType w:val="hybridMultilevel"/>
    <w:tmpl w:val="7A5A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719F4"/>
    <w:multiLevelType w:val="hybridMultilevel"/>
    <w:tmpl w:val="693453C2"/>
    <w:lvl w:ilvl="0" w:tplc="B8424FD8">
      <w:start w:val="1"/>
      <w:numFmt w:val="bullet"/>
      <w:lvlText w:val=""/>
      <w:lvlJc w:val="left"/>
      <w:pPr>
        <w:ind w:left="720" w:hanging="360"/>
      </w:pPr>
      <w:rPr>
        <w:rFonts w:ascii="Wingdings" w:hAnsi="Wingdings" w:hint="default"/>
        <w:lang w:val="ro-M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740C3"/>
    <w:multiLevelType w:val="hybridMultilevel"/>
    <w:tmpl w:val="97E6D7D6"/>
    <w:lvl w:ilvl="0" w:tplc="CDA4B594">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2136F5"/>
    <w:multiLevelType w:val="hybridMultilevel"/>
    <w:tmpl w:val="174A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8489F"/>
    <w:multiLevelType w:val="hybridMultilevel"/>
    <w:tmpl w:val="1DD28738"/>
    <w:lvl w:ilvl="0" w:tplc="20AAA17E">
      <w:start w:val="1"/>
      <w:numFmt w:val="bullet"/>
      <w:lvlText w:val="-"/>
      <w:lvlJc w:val="left"/>
      <w:pPr>
        <w:ind w:left="920" w:hanging="360"/>
      </w:pPr>
      <w:rPr>
        <w:rFonts w:ascii="Calibri" w:eastAsiaTheme="minorHAnsi" w:hAnsi="Calibri" w:cs="Calibri"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5E720D24"/>
    <w:multiLevelType w:val="hybridMultilevel"/>
    <w:tmpl w:val="BDE6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E7F93"/>
    <w:multiLevelType w:val="hybridMultilevel"/>
    <w:tmpl w:val="0778F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90820"/>
    <w:multiLevelType w:val="hybridMultilevel"/>
    <w:tmpl w:val="CC32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B5512"/>
    <w:multiLevelType w:val="hybridMultilevel"/>
    <w:tmpl w:val="698C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A3B73"/>
    <w:multiLevelType w:val="hybridMultilevel"/>
    <w:tmpl w:val="CE8E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E458A"/>
    <w:multiLevelType w:val="hybridMultilevel"/>
    <w:tmpl w:val="AF62D8A2"/>
    <w:lvl w:ilvl="0" w:tplc="178CB942">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93564B"/>
    <w:multiLevelType w:val="multilevel"/>
    <w:tmpl w:val="82B26E2A"/>
    <w:lvl w:ilvl="0">
      <w:start w:val="1"/>
      <w:numFmt w:val="decimal"/>
      <w:lvlText w:val="%1."/>
      <w:lvlJc w:val="left"/>
      <w:pPr>
        <w:ind w:left="420" w:hanging="360"/>
      </w:pPr>
      <w:rPr>
        <w:rFonts w:hint="default"/>
      </w:rPr>
    </w:lvl>
    <w:lvl w:ilvl="1">
      <w:start w:val="2"/>
      <w:numFmt w:val="decimal"/>
      <w:isLgl/>
      <w:lvlText w:val="%1.%2."/>
      <w:lvlJc w:val="left"/>
      <w:pPr>
        <w:ind w:left="521"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903" w:hanging="720"/>
      </w:pPr>
      <w:rPr>
        <w:rFonts w:hint="default"/>
      </w:rPr>
    </w:lvl>
    <w:lvl w:ilvl="4">
      <w:start w:val="1"/>
      <w:numFmt w:val="decimal"/>
      <w:isLgl/>
      <w:lvlText w:val="%1.%2.%3.%4.%5."/>
      <w:lvlJc w:val="left"/>
      <w:pPr>
        <w:ind w:left="1304" w:hanging="1080"/>
      </w:pPr>
      <w:rPr>
        <w:rFonts w:hint="default"/>
      </w:rPr>
    </w:lvl>
    <w:lvl w:ilvl="5">
      <w:start w:val="1"/>
      <w:numFmt w:val="decimal"/>
      <w:isLgl/>
      <w:lvlText w:val="%1.%2.%3.%4.%5.%6."/>
      <w:lvlJc w:val="left"/>
      <w:pPr>
        <w:ind w:left="1345" w:hanging="1080"/>
      </w:pPr>
      <w:rPr>
        <w:rFonts w:hint="default"/>
      </w:rPr>
    </w:lvl>
    <w:lvl w:ilvl="6">
      <w:start w:val="1"/>
      <w:numFmt w:val="decimal"/>
      <w:isLgl/>
      <w:lvlText w:val="%1.%2.%3.%4.%5.%6.%7."/>
      <w:lvlJc w:val="left"/>
      <w:pPr>
        <w:ind w:left="1746" w:hanging="1440"/>
      </w:pPr>
      <w:rPr>
        <w:rFonts w:hint="default"/>
      </w:rPr>
    </w:lvl>
    <w:lvl w:ilvl="7">
      <w:start w:val="1"/>
      <w:numFmt w:val="decimal"/>
      <w:isLgl/>
      <w:lvlText w:val="%1.%2.%3.%4.%5.%6.%7.%8."/>
      <w:lvlJc w:val="left"/>
      <w:pPr>
        <w:ind w:left="1787" w:hanging="1440"/>
      </w:pPr>
      <w:rPr>
        <w:rFonts w:hint="default"/>
      </w:rPr>
    </w:lvl>
    <w:lvl w:ilvl="8">
      <w:start w:val="1"/>
      <w:numFmt w:val="decimal"/>
      <w:isLgl/>
      <w:lvlText w:val="%1.%2.%3.%4.%5.%6.%7.%8.%9."/>
      <w:lvlJc w:val="left"/>
      <w:pPr>
        <w:ind w:left="2188" w:hanging="1800"/>
      </w:pPr>
      <w:rPr>
        <w:rFonts w:hint="default"/>
      </w:rPr>
    </w:lvl>
  </w:abstractNum>
  <w:abstractNum w:abstractNumId="27" w15:restartNumberingAfterBreak="0">
    <w:nsid w:val="7E6366AF"/>
    <w:multiLevelType w:val="multilevel"/>
    <w:tmpl w:val="8E084932"/>
    <w:lvl w:ilvl="0">
      <w:start w:val="1"/>
      <w:numFmt w:val="bullet"/>
      <w:lvlText w:val=""/>
      <w:lvlJc w:val="left"/>
      <w:pPr>
        <w:tabs>
          <w:tab w:val="num" w:pos="720"/>
        </w:tabs>
        <w:ind w:left="720" w:hanging="360"/>
      </w:pPr>
      <w:rPr>
        <w:rFonts w:ascii="Symbol" w:hAnsi="Symbol" w:hint="default"/>
        <w:sz w:val="16"/>
      </w:rPr>
    </w:lvl>
    <w:lvl w:ilvl="1">
      <w:numFmt w:val="bullet"/>
      <w:lvlText w:val="•"/>
      <w:lvlJc w:val="left"/>
      <w:pPr>
        <w:ind w:left="1440" w:hanging="360"/>
      </w:pPr>
      <w:rPr>
        <w:rFonts w:ascii="Times New Roman" w:eastAsiaTheme="minorHAnsi" w:hAnsi="Times New Roman" w:cs="Times New Roman"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F67593"/>
    <w:multiLevelType w:val="hybridMultilevel"/>
    <w:tmpl w:val="D150A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12"/>
  </w:num>
  <w:num w:numId="4">
    <w:abstractNumId w:val="5"/>
  </w:num>
  <w:num w:numId="5">
    <w:abstractNumId w:val="19"/>
  </w:num>
  <w:num w:numId="6">
    <w:abstractNumId w:val="16"/>
  </w:num>
  <w:num w:numId="7">
    <w:abstractNumId w:val="8"/>
  </w:num>
  <w:num w:numId="8">
    <w:abstractNumId w:val="17"/>
  </w:num>
  <w:num w:numId="9">
    <w:abstractNumId w:val="10"/>
  </w:num>
  <w:num w:numId="10">
    <w:abstractNumId w:val="25"/>
  </w:num>
  <w:num w:numId="11">
    <w:abstractNumId w:val="18"/>
  </w:num>
  <w:num w:numId="12">
    <w:abstractNumId w:val="14"/>
  </w:num>
  <w:num w:numId="13">
    <w:abstractNumId w:val="3"/>
  </w:num>
  <w:num w:numId="14">
    <w:abstractNumId w:val="9"/>
  </w:num>
  <w:num w:numId="15">
    <w:abstractNumId w:val="28"/>
  </w:num>
  <w:num w:numId="16">
    <w:abstractNumId w:val="23"/>
  </w:num>
  <w:num w:numId="17">
    <w:abstractNumId w:val="0"/>
  </w:num>
  <w:num w:numId="18">
    <w:abstractNumId w:val="22"/>
  </w:num>
  <w:num w:numId="19">
    <w:abstractNumId w:val="2"/>
  </w:num>
  <w:num w:numId="20">
    <w:abstractNumId w:val="4"/>
  </w:num>
  <w:num w:numId="21">
    <w:abstractNumId w:val="1"/>
  </w:num>
  <w:num w:numId="22">
    <w:abstractNumId w:val="15"/>
  </w:num>
  <w:num w:numId="23">
    <w:abstractNumId w:val="13"/>
  </w:num>
  <w:num w:numId="24">
    <w:abstractNumId w:val="6"/>
  </w:num>
  <w:num w:numId="25">
    <w:abstractNumId w:val="20"/>
  </w:num>
  <w:num w:numId="26">
    <w:abstractNumId w:val="24"/>
  </w:num>
  <w:num w:numId="27">
    <w:abstractNumId w:val="7"/>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9B"/>
    <w:rsid w:val="0000010E"/>
    <w:rsid w:val="00001314"/>
    <w:rsid w:val="00011913"/>
    <w:rsid w:val="00025457"/>
    <w:rsid w:val="00027E2C"/>
    <w:rsid w:val="000304A6"/>
    <w:rsid w:val="00030D83"/>
    <w:rsid w:val="0003488E"/>
    <w:rsid w:val="00045790"/>
    <w:rsid w:val="00047010"/>
    <w:rsid w:val="00047224"/>
    <w:rsid w:val="00051668"/>
    <w:rsid w:val="000524F7"/>
    <w:rsid w:val="00055924"/>
    <w:rsid w:val="0005708F"/>
    <w:rsid w:val="00057127"/>
    <w:rsid w:val="000612A7"/>
    <w:rsid w:val="00063AC5"/>
    <w:rsid w:val="0008260C"/>
    <w:rsid w:val="0008395C"/>
    <w:rsid w:val="0008476F"/>
    <w:rsid w:val="000872F8"/>
    <w:rsid w:val="000873A1"/>
    <w:rsid w:val="00091C80"/>
    <w:rsid w:val="00093CB3"/>
    <w:rsid w:val="000A7547"/>
    <w:rsid w:val="000B0811"/>
    <w:rsid w:val="000B7A72"/>
    <w:rsid w:val="000C171F"/>
    <w:rsid w:val="000C1F30"/>
    <w:rsid w:val="000C6DDB"/>
    <w:rsid w:val="000E53FF"/>
    <w:rsid w:val="000F3644"/>
    <w:rsid w:val="000F4A10"/>
    <w:rsid w:val="000F6F23"/>
    <w:rsid w:val="001058CA"/>
    <w:rsid w:val="00105A8B"/>
    <w:rsid w:val="0010714F"/>
    <w:rsid w:val="001129F9"/>
    <w:rsid w:val="00124D23"/>
    <w:rsid w:val="001311DD"/>
    <w:rsid w:val="00134813"/>
    <w:rsid w:val="00135310"/>
    <w:rsid w:val="0014133B"/>
    <w:rsid w:val="00144D96"/>
    <w:rsid w:val="00157F30"/>
    <w:rsid w:val="001626E0"/>
    <w:rsid w:val="00163FE8"/>
    <w:rsid w:val="00167E6F"/>
    <w:rsid w:val="00170F4C"/>
    <w:rsid w:val="00176998"/>
    <w:rsid w:val="00181F99"/>
    <w:rsid w:val="001900FC"/>
    <w:rsid w:val="001A0D66"/>
    <w:rsid w:val="001A1DFA"/>
    <w:rsid w:val="001A1EB3"/>
    <w:rsid w:val="001A636A"/>
    <w:rsid w:val="001A6774"/>
    <w:rsid w:val="001A69E9"/>
    <w:rsid w:val="001B4EAE"/>
    <w:rsid w:val="001C3047"/>
    <w:rsid w:val="001C4975"/>
    <w:rsid w:val="001C6148"/>
    <w:rsid w:val="001D17ED"/>
    <w:rsid w:val="001D49C0"/>
    <w:rsid w:val="001D6135"/>
    <w:rsid w:val="001F216F"/>
    <w:rsid w:val="001F2EBE"/>
    <w:rsid w:val="001F396C"/>
    <w:rsid w:val="00203831"/>
    <w:rsid w:val="00211CBB"/>
    <w:rsid w:val="002124A9"/>
    <w:rsid w:val="00220BAC"/>
    <w:rsid w:val="002400C4"/>
    <w:rsid w:val="00251B25"/>
    <w:rsid w:val="002528F7"/>
    <w:rsid w:val="00254AC3"/>
    <w:rsid w:val="0027095B"/>
    <w:rsid w:val="002808EF"/>
    <w:rsid w:val="00280DBA"/>
    <w:rsid w:val="00286993"/>
    <w:rsid w:val="00291455"/>
    <w:rsid w:val="00292D92"/>
    <w:rsid w:val="0029343E"/>
    <w:rsid w:val="002934AF"/>
    <w:rsid w:val="002A5CD6"/>
    <w:rsid w:val="002A6E7E"/>
    <w:rsid w:val="002B2104"/>
    <w:rsid w:val="002B6FAD"/>
    <w:rsid w:val="002D0729"/>
    <w:rsid w:val="002D6F1D"/>
    <w:rsid w:val="002E5178"/>
    <w:rsid w:val="002E5992"/>
    <w:rsid w:val="002E6095"/>
    <w:rsid w:val="002F0766"/>
    <w:rsid w:val="002F200E"/>
    <w:rsid w:val="002F705E"/>
    <w:rsid w:val="00303063"/>
    <w:rsid w:val="003038D0"/>
    <w:rsid w:val="00314E63"/>
    <w:rsid w:val="003153AF"/>
    <w:rsid w:val="00321338"/>
    <w:rsid w:val="00321C0E"/>
    <w:rsid w:val="003273E6"/>
    <w:rsid w:val="0033043A"/>
    <w:rsid w:val="00330BBE"/>
    <w:rsid w:val="00334C0B"/>
    <w:rsid w:val="003467A5"/>
    <w:rsid w:val="003501CB"/>
    <w:rsid w:val="00355788"/>
    <w:rsid w:val="003653D8"/>
    <w:rsid w:val="0037496F"/>
    <w:rsid w:val="00377261"/>
    <w:rsid w:val="00380737"/>
    <w:rsid w:val="00387E11"/>
    <w:rsid w:val="00390D0D"/>
    <w:rsid w:val="00391C16"/>
    <w:rsid w:val="003973FC"/>
    <w:rsid w:val="00397A4B"/>
    <w:rsid w:val="00397D42"/>
    <w:rsid w:val="003A3B7B"/>
    <w:rsid w:val="003A6DEB"/>
    <w:rsid w:val="003B1EF8"/>
    <w:rsid w:val="003B32CE"/>
    <w:rsid w:val="003C0E4E"/>
    <w:rsid w:val="003C1102"/>
    <w:rsid w:val="003C12E8"/>
    <w:rsid w:val="003D09BB"/>
    <w:rsid w:val="003D4EB2"/>
    <w:rsid w:val="003D6CC3"/>
    <w:rsid w:val="003D7409"/>
    <w:rsid w:val="003E393D"/>
    <w:rsid w:val="003F1EC8"/>
    <w:rsid w:val="004044CA"/>
    <w:rsid w:val="004048DA"/>
    <w:rsid w:val="0040568B"/>
    <w:rsid w:val="00416D54"/>
    <w:rsid w:val="00420124"/>
    <w:rsid w:val="004211D5"/>
    <w:rsid w:val="00422932"/>
    <w:rsid w:val="00427F01"/>
    <w:rsid w:val="004313D5"/>
    <w:rsid w:val="00433AFC"/>
    <w:rsid w:val="00435A7C"/>
    <w:rsid w:val="00447B3D"/>
    <w:rsid w:val="00452626"/>
    <w:rsid w:val="00455A14"/>
    <w:rsid w:val="00462238"/>
    <w:rsid w:val="00490776"/>
    <w:rsid w:val="004A1CD1"/>
    <w:rsid w:val="004A21E1"/>
    <w:rsid w:val="004A5513"/>
    <w:rsid w:val="004A7303"/>
    <w:rsid w:val="004B088D"/>
    <w:rsid w:val="004B762E"/>
    <w:rsid w:val="004C1884"/>
    <w:rsid w:val="004C2D04"/>
    <w:rsid w:val="004C3532"/>
    <w:rsid w:val="004C36CD"/>
    <w:rsid w:val="004C3B80"/>
    <w:rsid w:val="004C7AFC"/>
    <w:rsid w:val="004C7CAF"/>
    <w:rsid w:val="004D271D"/>
    <w:rsid w:val="004D297B"/>
    <w:rsid w:val="004D7BBB"/>
    <w:rsid w:val="004E4D4B"/>
    <w:rsid w:val="004F1464"/>
    <w:rsid w:val="004F7B45"/>
    <w:rsid w:val="00523CCC"/>
    <w:rsid w:val="0052749D"/>
    <w:rsid w:val="00530F2F"/>
    <w:rsid w:val="0053716D"/>
    <w:rsid w:val="005408C6"/>
    <w:rsid w:val="00542EE1"/>
    <w:rsid w:val="0055021C"/>
    <w:rsid w:val="005506ED"/>
    <w:rsid w:val="005565A4"/>
    <w:rsid w:val="0055795B"/>
    <w:rsid w:val="00557A20"/>
    <w:rsid w:val="00557F14"/>
    <w:rsid w:val="00570F0B"/>
    <w:rsid w:val="00584A08"/>
    <w:rsid w:val="0058704A"/>
    <w:rsid w:val="0059510E"/>
    <w:rsid w:val="0059600E"/>
    <w:rsid w:val="005A0F4F"/>
    <w:rsid w:val="005A24D6"/>
    <w:rsid w:val="005A519C"/>
    <w:rsid w:val="005B6305"/>
    <w:rsid w:val="005B6C60"/>
    <w:rsid w:val="005C4174"/>
    <w:rsid w:val="005D0DA0"/>
    <w:rsid w:val="005D16DF"/>
    <w:rsid w:val="005D1FA3"/>
    <w:rsid w:val="005D292C"/>
    <w:rsid w:val="005D5F80"/>
    <w:rsid w:val="005E03A5"/>
    <w:rsid w:val="005E1B10"/>
    <w:rsid w:val="005E475A"/>
    <w:rsid w:val="005E5BDA"/>
    <w:rsid w:val="005F2662"/>
    <w:rsid w:val="005F5152"/>
    <w:rsid w:val="0061088D"/>
    <w:rsid w:val="006131AB"/>
    <w:rsid w:val="00614CDE"/>
    <w:rsid w:val="00615265"/>
    <w:rsid w:val="00615B04"/>
    <w:rsid w:val="006169B3"/>
    <w:rsid w:val="00617411"/>
    <w:rsid w:val="00620DA2"/>
    <w:rsid w:val="00621B6A"/>
    <w:rsid w:val="0062761B"/>
    <w:rsid w:val="006312CB"/>
    <w:rsid w:val="00634B28"/>
    <w:rsid w:val="006408F5"/>
    <w:rsid w:val="00641331"/>
    <w:rsid w:val="00643AB8"/>
    <w:rsid w:val="00644546"/>
    <w:rsid w:val="00653DEE"/>
    <w:rsid w:val="0065507D"/>
    <w:rsid w:val="006553DA"/>
    <w:rsid w:val="00660152"/>
    <w:rsid w:val="0066294E"/>
    <w:rsid w:val="00663850"/>
    <w:rsid w:val="00681CF4"/>
    <w:rsid w:val="00686DC7"/>
    <w:rsid w:val="00694302"/>
    <w:rsid w:val="0069511D"/>
    <w:rsid w:val="00696C28"/>
    <w:rsid w:val="006A06FC"/>
    <w:rsid w:val="006A2416"/>
    <w:rsid w:val="006B17C5"/>
    <w:rsid w:val="006B7807"/>
    <w:rsid w:val="006C6206"/>
    <w:rsid w:val="006D0DE7"/>
    <w:rsid w:val="006D526A"/>
    <w:rsid w:val="006E530F"/>
    <w:rsid w:val="006E5332"/>
    <w:rsid w:val="006E55F4"/>
    <w:rsid w:val="006F4311"/>
    <w:rsid w:val="006F5B6D"/>
    <w:rsid w:val="006F6753"/>
    <w:rsid w:val="006F798F"/>
    <w:rsid w:val="00707A6D"/>
    <w:rsid w:val="00722036"/>
    <w:rsid w:val="00723671"/>
    <w:rsid w:val="00735151"/>
    <w:rsid w:val="007354A0"/>
    <w:rsid w:val="0073595E"/>
    <w:rsid w:val="00736040"/>
    <w:rsid w:val="007464A2"/>
    <w:rsid w:val="007502AA"/>
    <w:rsid w:val="007542A3"/>
    <w:rsid w:val="00755EED"/>
    <w:rsid w:val="007573BB"/>
    <w:rsid w:val="00762DD3"/>
    <w:rsid w:val="007706DA"/>
    <w:rsid w:val="0077481F"/>
    <w:rsid w:val="007854E8"/>
    <w:rsid w:val="00785D8F"/>
    <w:rsid w:val="00794BEC"/>
    <w:rsid w:val="007A03FF"/>
    <w:rsid w:val="007A0C6E"/>
    <w:rsid w:val="007A0F90"/>
    <w:rsid w:val="007A14F1"/>
    <w:rsid w:val="007A2C47"/>
    <w:rsid w:val="007A7396"/>
    <w:rsid w:val="007B10FF"/>
    <w:rsid w:val="007B1E78"/>
    <w:rsid w:val="007D0437"/>
    <w:rsid w:val="007D0F23"/>
    <w:rsid w:val="007D1B85"/>
    <w:rsid w:val="007D4931"/>
    <w:rsid w:val="007E11B5"/>
    <w:rsid w:val="007E5C1C"/>
    <w:rsid w:val="007F0505"/>
    <w:rsid w:val="007F3C50"/>
    <w:rsid w:val="007F4B48"/>
    <w:rsid w:val="007F5345"/>
    <w:rsid w:val="007F6ED0"/>
    <w:rsid w:val="0080171F"/>
    <w:rsid w:val="00803A31"/>
    <w:rsid w:val="00804663"/>
    <w:rsid w:val="00810B6A"/>
    <w:rsid w:val="00823B22"/>
    <w:rsid w:val="008241C2"/>
    <w:rsid w:val="00824AD2"/>
    <w:rsid w:val="0082550B"/>
    <w:rsid w:val="00836FA4"/>
    <w:rsid w:val="008379F5"/>
    <w:rsid w:val="00852D56"/>
    <w:rsid w:val="00866C9E"/>
    <w:rsid w:val="00873A29"/>
    <w:rsid w:val="00880AC7"/>
    <w:rsid w:val="008852C8"/>
    <w:rsid w:val="008855D2"/>
    <w:rsid w:val="0088586C"/>
    <w:rsid w:val="0089454F"/>
    <w:rsid w:val="008B2CF3"/>
    <w:rsid w:val="008B60F4"/>
    <w:rsid w:val="008C530C"/>
    <w:rsid w:val="008C7E7C"/>
    <w:rsid w:val="008D4103"/>
    <w:rsid w:val="008D4682"/>
    <w:rsid w:val="008F002F"/>
    <w:rsid w:val="008F032B"/>
    <w:rsid w:val="008F05F3"/>
    <w:rsid w:val="008F0F18"/>
    <w:rsid w:val="008F3C5D"/>
    <w:rsid w:val="008F4C5F"/>
    <w:rsid w:val="00901E89"/>
    <w:rsid w:val="009164B4"/>
    <w:rsid w:val="00917F0D"/>
    <w:rsid w:val="00921715"/>
    <w:rsid w:val="00921BAF"/>
    <w:rsid w:val="00924821"/>
    <w:rsid w:val="0092552A"/>
    <w:rsid w:val="00934BC3"/>
    <w:rsid w:val="0093578C"/>
    <w:rsid w:val="00936FA0"/>
    <w:rsid w:val="00944E29"/>
    <w:rsid w:val="00946CE3"/>
    <w:rsid w:val="009740D3"/>
    <w:rsid w:val="009777EA"/>
    <w:rsid w:val="00987E8D"/>
    <w:rsid w:val="00991256"/>
    <w:rsid w:val="00993D9E"/>
    <w:rsid w:val="00996D16"/>
    <w:rsid w:val="00996DC2"/>
    <w:rsid w:val="009A0C0F"/>
    <w:rsid w:val="009A117F"/>
    <w:rsid w:val="009A358F"/>
    <w:rsid w:val="009A4DA9"/>
    <w:rsid w:val="009A5354"/>
    <w:rsid w:val="009A6280"/>
    <w:rsid w:val="009A6C62"/>
    <w:rsid w:val="009B3ADA"/>
    <w:rsid w:val="009B5675"/>
    <w:rsid w:val="009B5EF2"/>
    <w:rsid w:val="009B6FC7"/>
    <w:rsid w:val="009C1231"/>
    <w:rsid w:val="009C57F9"/>
    <w:rsid w:val="009D1F26"/>
    <w:rsid w:val="009D1F9E"/>
    <w:rsid w:val="009E296E"/>
    <w:rsid w:val="009E4E81"/>
    <w:rsid w:val="009F5584"/>
    <w:rsid w:val="009F594C"/>
    <w:rsid w:val="009F5951"/>
    <w:rsid w:val="009F5C4E"/>
    <w:rsid w:val="009F7CC5"/>
    <w:rsid w:val="00A01CC6"/>
    <w:rsid w:val="00A050AE"/>
    <w:rsid w:val="00A05C5E"/>
    <w:rsid w:val="00A127A2"/>
    <w:rsid w:val="00A16D80"/>
    <w:rsid w:val="00A2416D"/>
    <w:rsid w:val="00A26A90"/>
    <w:rsid w:val="00A32114"/>
    <w:rsid w:val="00A33EB6"/>
    <w:rsid w:val="00A340B9"/>
    <w:rsid w:val="00A37912"/>
    <w:rsid w:val="00A43BBD"/>
    <w:rsid w:val="00A52578"/>
    <w:rsid w:val="00A5734B"/>
    <w:rsid w:val="00A6027D"/>
    <w:rsid w:val="00A60534"/>
    <w:rsid w:val="00A637C1"/>
    <w:rsid w:val="00A80CCC"/>
    <w:rsid w:val="00A8515D"/>
    <w:rsid w:val="00A94B03"/>
    <w:rsid w:val="00A95B33"/>
    <w:rsid w:val="00A964EA"/>
    <w:rsid w:val="00AA07A7"/>
    <w:rsid w:val="00AA266C"/>
    <w:rsid w:val="00AA293D"/>
    <w:rsid w:val="00AA6D44"/>
    <w:rsid w:val="00AD4EDE"/>
    <w:rsid w:val="00AD5520"/>
    <w:rsid w:val="00AE0D97"/>
    <w:rsid w:val="00AE173B"/>
    <w:rsid w:val="00AF7B71"/>
    <w:rsid w:val="00B04F0C"/>
    <w:rsid w:val="00B06CD1"/>
    <w:rsid w:val="00B12133"/>
    <w:rsid w:val="00B21289"/>
    <w:rsid w:val="00B26CB8"/>
    <w:rsid w:val="00B33F07"/>
    <w:rsid w:val="00B345A0"/>
    <w:rsid w:val="00B42641"/>
    <w:rsid w:val="00B46BD5"/>
    <w:rsid w:val="00B5223F"/>
    <w:rsid w:val="00B5654C"/>
    <w:rsid w:val="00B56934"/>
    <w:rsid w:val="00B64283"/>
    <w:rsid w:val="00B65862"/>
    <w:rsid w:val="00B66A07"/>
    <w:rsid w:val="00B70025"/>
    <w:rsid w:val="00B81923"/>
    <w:rsid w:val="00B846DD"/>
    <w:rsid w:val="00B9522F"/>
    <w:rsid w:val="00B97C35"/>
    <w:rsid w:val="00BA1757"/>
    <w:rsid w:val="00BA1926"/>
    <w:rsid w:val="00BA6BD9"/>
    <w:rsid w:val="00BB33B9"/>
    <w:rsid w:val="00BB51AA"/>
    <w:rsid w:val="00BB68C0"/>
    <w:rsid w:val="00BB7993"/>
    <w:rsid w:val="00BD06A8"/>
    <w:rsid w:val="00BE21D2"/>
    <w:rsid w:val="00BE49EC"/>
    <w:rsid w:val="00BE60F7"/>
    <w:rsid w:val="00BE64E6"/>
    <w:rsid w:val="00BF31BD"/>
    <w:rsid w:val="00BF364C"/>
    <w:rsid w:val="00BF4B4D"/>
    <w:rsid w:val="00BF601E"/>
    <w:rsid w:val="00C01B2A"/>
    <w:rsid w:val="00C02E8B"/>
    <w:rsid w:val="00C04392"/>
    <w:rsid w:val="00C050BC"/>
    <w:rsid w:val="00C071B9"/>
    <w:rsid w:val="00C108FB"/>
    <w:rsid w:val="00C125DB"/>
    <w:rsid w:val="00C236AB"/>
    <w:rsid w:val="00C27458"/>
    <w:rsid w:val="00C277B5"/>
    <w:rsid w:val="00C335C3"/>
    <w:rsid w:val="00C41CCA"/>
    <w:rsid w:val="00C43C6E"/>
    <w:rsid w:val="00C4591C"/>
    <w:rsid w:val="00C51185"/>
    <w:rsid w:val="00C612F2"/>
    <w:rsid w:val="00C61885"/>
    <w:rsid w:val="00C67C1C"/>
    <w:rsid w:val="00C77F46"/>
    <w:rsid w:val="00C94959"/>
    <w:rsid w:val="00CB19A3"/>
    <w:rsid w:val="00CC61B3"/>
    <w:rsid w:val="00CD1628"/>
    <w:rsid w:val="00CE0D57"/>
    <w:rsid w:val="00CE1149"/>
    <w:rsid w:val="00CF2882"/>
    <w:rsid w:val="00CF4FCC"/>
    <w:rsid w:val="00CF5739"/>
    <w:rsid w:val="00CF5E76"/>
    <w:rsid w:val="00D029AD"/>
    <w:rsid w:val="00D155A4"/>
    <w:rsid w:val="00D307F3"/>
    <w:rsid w:val="00D31152"/>
    <w:rsid w:val="00D35A0D"/>
    <w:rsid w:val="00D53247"/>
    <w:rsid w:val="00D642BA"/>
    <w:rsid w:val="00D77526"/>
    <w:rsid w:val="00D80E56"/>
    <w:rsid w:val="00D84F0C"/>
    <w:rsid w:val="00D90828"/>
    <w:rsid w:val="00D91B9B"/>
    <w:rsid w:val="00D91F1E"/>
    <w:rsid w:val="00D9338C"/>
    <w:rsid w:val="00D9393E"/>
    <w:rsid w:val="00D94CC3"/>
    <w:rsid w:val="00DA32F8"/>
    <w:rsid w:val="00DA3665"/>
    <w:rsid w:val="00DB1F7F"/>
    <w:rsid w:val="00DB5A22"/>
    <w:rsid w:val="00DC2761"/>
    <w:rsid w:val="00DC3CD2"/>
    <w:rsid w:val="00DC6800"/>
    <w:rsid w:val="00DD25AE"/>
    <w:rsid w:val="00DD57E3"/>
    <w:rsid w:val="00DF44DD"/>
    <w:rsid w:val="00E03AAD"/>
    <w:rsid w:val="00E1308C"/>
    <w:rsid w:val="00E133B5"/>
    <w:rsid w:val="00E1514A"/>
    <w:rsid w:val="00E15699"/>
    <w:rsid w:val="00E1649A"/>
    <w:rsid w:val="00E2249C"/>
    <w:rsid w:val="00E25317"/>
    <w:rsid w:val="00E25F8C"/>
    <w:rsid w:val="00E27229"/>
    <w:rsid w:val="00E36BBB"/>
    <w:rsid w:val="00E42490"/>
    <w:rsid w:val="00E44547"/>
    <w:rsid w:val="00E5344F"/>
    <w:rsid w:val="00E53642"/>
    <w:rsid w:val="00E5699A"/>
    <w:rsid w:val="00E62961"/>
    <w:rsid w:val="00E83177"/>
    <w:rsid w:val="00E929FC"/>
    <w:rsid w:val="00EA0D4B"/>
    <w:rsid w:val="00EA3D5E"/>
    <w:rsid w:val="00EB227C"/>
    <w:rsid w:val="00EB5395"/>
    <w:rsid w:val="00EC0EA5"/>
    <w:rsid w:val="00EC29A4"/>
    <w:rsid w:val="00EC5771"/>
    <w:rsid w:val="00ED0B81"/>
    <w:rsid w:val="00ED0B8F"/>
    <w:rsid w:val="00ED6C5D"/>
    <w:rsid w:val="00EE726E"/>
    <w:rsid w:val="00F05DDC"/>
    <w:rsid w:val="00F12DE6"/>
    <w:rsid w:val="00F21988"/>
    <w:rsid w:val="00F21F31"/>
    <w:rsid w:val="00F2717F"/>
    <w:rsid w:val="00F315E5"/>
    <w:rsid w:val="00F37C5E"/>
    <w:rsid w:val="00F42455"/>
    <w:rsid w:val="00F4710C"/>
    <w:rsid w:val="00F57615"/>
    <w:rsid w:val="00F639E7"/>
    <w:rsid w:val="00F66F28"/>
    <w:rsid w:val="00F70270"/>
    <w:rsid w:val="00F7149C"/>
    <w:rsid w:val="00F7262A"/>
    <w:rsid w:val="00F74FDA"/>
    <w:rsid w:val="00F767B0"/>
    <w:rsid w:val="00F777F5"/>
    <w:rsid w:val="00F87B0B"/>
    <w:rsid w:val="00F9234B"/>
    <w:rsid w:val="00F949DB"/>
    <w:rsid w:val="00FA60A7"/>
    <w:rsid w:val="00FB087D"/>
    <w:rsid w:val="00FB1C47"/>
    <w:rsid w:val="00FB4CD1"/>
    <w:rsid w:val="00FB513E"/>
    <w:rsid w:val="00FB5E9C"/>
    <w:rsid w:val="00FC3F20"/>
    <w:rsid w:val="00FD071D"/>
    <w:rsid w:val="00FD1327"/>
    <w:rsid w:val="00FD6E13"/>
    <w:rsid w:val="00FE3C0B"/>
    <w:rsid w:val="00FE75DD"/>
    <w:rsid w:val="00FF246D"/>
    <w:rsid w:val="00FF5A6F"/>
    <w:rsid w:val="033CF18F"/>
    <w:rsid w:val="1762F123"/>
    <w:rsid w:val="345B8B47"/>
    <w:rsid w:val="36E30E00"/>
    <w:rsid w:val="79829D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14EC"/>
  <w15:chartTrackingRefBased/>
  <w15:docId w15:val="{4C67B08A-166E-4F30-929D-C49EB877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53"/>
    <w:pPr>
      <w:spacing w:after="200" w:line="276" w:lineRule="auto"/>
    </w:pPr>
    <w:rPr>
      <w:rFonts w:asciiTheme="minorHAnsi" w:hAnsiTheme="minorHAnsi"/>
      <w:kern w:val="0"/>
      <w:sz w:val="22"/>
      <w:lang w:val="ro-RO"/>
      <w14:ligatures w14:val="none"/>
    </w:rPr>
  </w:style>
  <w:style w:type="paragraph" w:styleId="1">
    <w:name w:val="heading 1"/>
    <w:basedOn w:val="a"/>
    <w:next w:val="a"/>
    <w:link w:val="10"/>
    <w:uiPriority w:val="9"/>
    <w:qFormat/>
    <w:rsid w:val="00291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E11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570F0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En tête 1 Знак,Normal bullet 2 Знак,Antes de enumeración Знак,Párrafo de lista1 Знак,Bullet list Знак,List Paragraph1 Знак,Paragraphe de liste PBLH Знак,List Paragraph (numbered (a)) Знак,Bullet List Знак,Graph &amp; Table tite Знак"/>
    <w:link w:val="a4"/>
    <w:uiPriority w:val="34"/>
    <w:qFormat/>
    <w:locked/>
    <w:rsid w:val="00D91B9B"/>
  </w:style>
  <w:style w:type="paragraph" w:styleId="a4">
    <w:name w:val="List Paragraph"/>
    <w:aliases w:val="En tête 1,Normal bullet 2,Antes de enumeración,Párrafo de lista1,Bullet list,List Paragraph1,Paragraphe de liste PBLH,List Paragraph (numbered (a)),Bullet List,Graph &amp; Table tite,Bullet Points,Liste Paragraf,Bullet OFM,Citation List,Bulle"/>
    <w:basedOn w:val="a"/>
    <w:link w:val="a3"/>
    <w:uiPriority w:val="34"/>
    <w:qFormat/>
    <w:rsid w:val="00D91B9B"/>
    <w:pPr>
      <w:ind w:left="720"/>
      <w:contextualSpacing/>
    </w:pPr>
    <w:rPr>
      <w:rFonts w:ascii="Times New Roman" w:hAnsi="Times New Roman"/>
      <w:kern w:val="2"/>
      <w:sz w:val="24"/>
      <w:lang w:val="en-US"/>
      <w14:ligatures w14:val="standardContextual"/>
    </w:rPr>
  </w:style>
  <w:style w:type="character" w:styleId="a5">
    <w:name w:val="Hyperlink"/>
    <w:basedOn w:val="a0"/>
    <w:uiPriority w:val="99"/>
    <w:unhideWhenUsed/>
    <w:rsid w:val="00D91B9B"/>
    <w:rPr>
      <w:color w:val="0563C1" w:themeColor="hyperlink"/>
      <w:u w:val="single"/>
    </w:rPr>
  </w:style>
  <w:style w:type="paragraph" w:styleId="a6">
    <w:name w:val="Normal (Web)"/>
    <w:aliases w:val="Знак,webb, Знак"/>
    <w:basedOn w:val="a"/>
    <w:link w:val="a7"/>
    <w:uiPriority w:val="99"/>
    <w:qFormat/>
    <w:rsid w:val="00D91B9B"/>
    <w:pPr>
      <w:spacing w:after="0" w:line="240" w:lineRule="auto"/>
      <w:ind w:firstLine="567"/>
      <w:jc w:val="both"/>
    </w:pPr>
    <w:rPr>
      <w:rFonts w:ascii="Times New Roman" w:eastAsia="Calibri" w:hAnsi="Times New Roman" w:cs="Times New Roman"/>
      <w:sz w:val="24"/>
      <w:szCs w:val="24"/>
      <w:lang w:val="en-US"/>
    </w:rPr>
  </w:style>
  <w:style w:type="paragraph" w:customStyle="1" w:styleId="tt">
    <w:name w:val="tt"/>
    <w:basedOn w:val="a"/>
    <w:rsid w:val="00D91B9B"/>
    <w:pPr>
      <w:spacing w:after="0" w:line="240" w:lineRule="auto"/>
      <w:jc w:val="center"/>
    </w:pPr>
    <w:rPr>
      <w:rFonts w:ascii="Times New Roman" w:eastAsia="Times New Roman" w:hAnsi="Times New Roman" w:cs="Times New Roman"/>
      <w:b/>
      <w:bCs/>
      <w:sz w:val="24"/>
      <w:szCs w:val="24"/>
      <w:lang w:val="ru-RU" w:eastAsia="ru-RU"/>
    </w:rPr>
  </w:style>
  <w:style w:type="paragraph" w:styleId="a8">
    <w:name w:val="annotation text"/>
    <w:basedOn w:val="a"/>
    <w:link w:val="a9"/>
    <w:uiPriority w:val="99"/>
    <w:unhideWhenUsed/>
    <w:rsid w:val="00D91B9B"/>
    <w:pPr>
      <w:spacing w:line="240" w:lineRule="auto"/>
    </w:pPr>
    <w:rPr>
      <w:rFonts w:eastAsiaTheme="minorEastAsia"/>
      <w:sz w:val="20"/>
      <w:szCs w:val="20"/>
      <w:lang w:val="ru-RU" w:eastAsia="zh-CN"/>
    </w:rPr>
  </w:style>
  <w:style w:type="character" w:customStyle="1" w:styleId="a9">
    <w:name w:val="Текст примечания Знак"/>
    <w:basedOn w:val="a0"/>
    <w:link w:val="a8"/>
    <w:uiPriority w:val="99"/>
    <w:rsid w:val="00D91B9B"/>
    <w:rPr>
      <w:rFonts w:asciiTheme="minorHAnsi" w:eastAsiaTheme="minorEastAsia" w:hAnsiTheme="minorHAnsi"/>
      <w:kern w:val="0"/>
      <w:sz w:val="20"/>
      <w:szCs w:val="20"/>
      <w:lang w:val="ru-RU" w:eastAsia="zh-CN"/>
      <w14:ligatures w14:val="none"/>
    </w:rPr>
  </w:style>
  <w:style w:type="paragraph" w:styleId="aa">
    <w:name w:val="footnote text"/>
    <w:basedOn w:val="a"/>
    <w:link w:val="ab"/>
    <w:uiPriority w:val="99"/>
    <w:semiHidden/>
    <w:unhideWhenUsed/>
    <w:rsid w:val="00D91B9B"/>
    <w:pPr>
      <w:spacing w:after="0" w:line="240" w:lineRule="auto"/>
    </w:pPr>
    <w:rPr>
      <w:rFonts w:ascii="Gill Sans MT" w:eastAsiaTheme="minorEastAsia" w:hAnsi="Gill Sans MT" w:cs="GillSansMTStd-Book"/>
      <w:color w:val="6C6463"/>
      <w:sz w:val="20"/>
      <w:szCs w:val="20"/>
      <w:lang w:val="en-US"/>
    </w:rPr>
  </w:style>
  <w:style w:type="character" w:customStyle="1" w:styleId="ab">
    <w:name w:val="Текст сноски Знак"/>
    <w:basedOn w:val="a0"/>
    <w:link w:val="aa"/>
    <w:uiPriority w:val="99"/>
    <w:semiHidden/>
    <w:rsid w:val="00D91B9B"/>
    <w:rPr>
      <w:rFonts w:ascii="Gill Sans MT" w:eastAsiaTheme="minorEastAsia" w:hAnsi="Gill Sans MT" w:cs="GillSansMTStd-Book"/>
      <w:color w:val="6C6463"/>
      <w:kern w:val="0"/>
      <w:sz w:val="20"/>
      <w:szCs w:val="20"/>
      <w14:ligatures w14:val="none"/>
    </w:rPr>
  </w:style>
  <w:style w:type="character" w:styleId="ac">
    <w:name w:val="footnote reference"/>
    <w:basedOn w:val="a0"/>
    <w:uiPriority w:val="99"/>
    <w:semiHidden/>
    <w:unhideWhenUsed/>
    <w:rsid w:val="00D91B9B"/>
    <w:rPr>
      <w:vertAlign w:val="superscript"/>
    </w:rPr>
  </w:style>
  <w:style w:type="character" w:customStyle="1" w:styleId="a7">
    <w:name w:val="Обычный (Интернет) Знак"/>
    <w:aliases w:val="Знак Знак,webb Знак, Знак Знак"/>
    <w:link w:val="a6"/>
    <w:uiPriority w:val="99"/>
    <w:rsid w:val="00D91B9B"/>
    <w:rPr>
      <w:rFonts w:eastAsia="Calibri" w:cs="Times New Roman"/>
      <w:kern w:val="0"/>
      <w:szCs w:val="24"/>
      <w14:ligatures w14:val="none"/>
    </w:rPr>
  </w:style>
  <w:style w:type="character" w:styleId="ad">
    <w:name w:val="annotation reference"/>
    <w:basedOn w:val="a0"/>
    <w:uiPriority w:val="99"/>
    <w:semiHidden/>
    <w:unhideWhenUsed/>
    <w:rsid w:val="00D91B9B"/>
    <w:rPr>
      <w:sz w:val="16"/>
      <w:szCs w:val="16"/>
    </w:rPr>
  </w:style>
  <w:style w:type="paragraph" w:styleId="ae">
    <w:name w:val="Revision"/>
    <w:hidden/>
    <w:uiPriority w:val="99"/>
    <w:semiHidden/>
    <w:rsid w:val="00BF4B4D"/>
    <w:pPr>
      <w:spacing w:after="0" w:line="240" w:lineRule="auto"/>
    </w:pPr>
    <w:rPr>
      <w:rFonts w:asciiTheme="minorHAnsi" w:hAnsiTheme="minorHAnsi"/>
      <w:kern w:val="0"/>
      <w:sz w:val="22"/>
      <w:lang w:val="ro-RO"/>
      <w14:ligatures w14:val="none"/>
    </w:rPr>
  </w:style>
  <w:style w:type="paragraph" w:styleId="af">
    <w:name w:val="Balloon Text"/>
    <w:basedOn w:val="a"/>
    <w:link w:val="af0"/>
    <w:uiPriority w:val="99"/>
    <w:semiHidden/>
    <w:unhideWhenUsed/>
    <w:rsid w:val="00C41CC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41CCA"/>
    <w:rPr>
      <w:rFonts w:ascii="Segoe UI" w:hAnsi="Segoe UI" w:cs="Segoe UI"/>
      <w:kern w:val="0"/>
      <w:sz w:val="18"/>
      <w:szCs w:val="18"/>
      <w:lang w:val="ro-RO"/>
      <w14:ligatures w14:val="none"/>
    </w:rPr>
  </w:style>
  <w:style w:type="paragraph" w:styleId="af1">
    <w:name w:val="No Spacing"/>
    <w:uiPriority w:val="1"/>
    <w:qFormat/>
    <w:rsid w:val="00EC29A4"/>
    <w:pPr>
      <w:spacing w:after="0" w:line="240" w:lineRule="auto"/>
    </w:pPr>
    <w:rPr>
      <w:rFonts w:asciiTheme="minorHAnsi" w:hAnsiTheme="minorHAnsi"/>
      <w:kern w:val="0"/>
      <w:sz w:val="22"/>
      <w:lang w:val="ro-RO"/>
      <w14:ligatures w14:val="none"/>
    </w:rPr>
  </w:style>
  <w:style w:type="paragraph" w:styleId="af2">
    <w:name w:val="annotation subject"/>
    <w:basedOn w:val="a8"/>
    <w:next w:val="a8"/>
    <w:link w:val="af3"/>
    <w:uiPriority w:val="99"/>
    <w:semiHidden/>
    <w:unhideWhenUsed/>
    <w:rsid w:val="00F05DDC"/>
    <w:rPr>
      <w:rFonts w:eastAsiaTheme="minorHAnsi"/>
      <w:b/>
      <w:bCs/>
      <w:lang w:val="ro-RO" w:eastAsia="en-US"/>
    </w:rPr>
  </w:style>
  <w:style w:type="character" w:customStyle="1" w:styleId="af3">
    <w:name w:val="Тема примечания Знак"/>
    <w:basedOn w:val="a9"/>
    <w:link w:val="af2"/>
    <w:uiPriority w:val="99"/>
    <w:semiHidden/>
    <w:rsid w:val="00F05DDC"/>
    <w:rPr>
      <w:rFonts w:asciiTheme="minorHAnsi" w:eastAsiaTheme="minorEastAsia" w:hAnsiTheme="minorHAnsi"/>
      <w:b/>
      <w:bCs/>
      <w:kern w:val="0"/>
      <w:sz w:val="20"/>
      <w:szCs w:val="20"/>
      <w:lang w:val="ro-RO" w:eastAsia="zh-CN"/>
      <w14:ligatures w14:val="none"/>
    </w:rPr>
  </w:style>
  <w:style w:type="paragraph" w:styleId="af4">
    <w:name w:val="header"/>
    <w:basedOn w:val="a"/>
    <w:link w:val="af5"/>
    <w:uiPriority w:val="99"/>
    <w:semiHidden/>
    <w:unhideWhenUsed/>
    <w:rsid w:val="00380737"/>
    <w:pPr>
      <w:tabs>
        <w:tab w:val="center" w:pos="4513"/>
        <w:tab w:val="right" w:pos="9026"/>
      </w:tabs>
      <w:spacing w:after="0" w:line="240" w:lineRule="auto"/>
    </w:pPr>
  </w:style>
  <w:style w:type="character" w:customStyle="1" w:styleId="af5">
    <w:name w:val="Верхний колонтитул Знак"/>
    <w:basedOn w:val="a0"/>
    <w:link w:val="af4"/>
    <w:uiPriority w:val="99"/>
    <w:semiHidden/>
    <w:rsid w:val="00380737"/>
    <w:rPr>
      <w:rFonts w:asciiTheme="minorHAnsi" w:hAnsiTheme="minorHAnsi"/>
      <w:kern w:val="0"/>
      <w:sz w:val="22"/>
      <w:lang w:val="ro-RO"/>
      <w14:ligatures w14:val="none"/>
    </w:rPr>
  </w:style>
  <w:style w:type="paragraph" w:styleId="af6">
    <w:name w:val="footer"/>
    <w:basedOn w:val="a"/>
    <w:link w:val="af7"/>
    <w:uiPriority w:val="99"/>
    <w:semiHidden/>
    <w:unhideWhenUsed/>
    <w:rsid w:val="00380737"/>
    <w:pPr>
      <w:tabs>
        <w:tab w:val="center" w:pos="4513"/>
        <w:tab w:val="right" w:pos="9026"/>
      </w:tabs>
      <w:spacing w:after="0" w:line="240" w:lineRule="auto"/>
    </w:pPr>
  </w:style>
  <w:style w:type="character" w:customStyle="1" w:styleId="af7">
    <w:name w:val="Нижний колонтитул Знак"/>
    <w:basedOn w:val="a0"/>
    <w:link w:val="af6"/>
    <w:uiPriority w:val="99"/>
    <w:semiHidden/>
    <w:rsid w:val="00380737"/>
    <w:rPr>
      <w:rFonts w:asciiTheme="minorHAnsi" w:hAnsiTheme="minorHAnsi"/>
      <w:kern w:val="0"/>
      <w:sz w:val="22"/>
      <w:lang w:val="ro-RO"/>
      <w14:ligatures w14:val="none"/>
    </w:rPr>
  </w:style>
  <w:style w:type="character" w:customStyle="1" w:styleId="UnresolvedMention1">
    <w:name w:val="Unresolved Mention1"/>
    <w:basedOn w:val="a0"/>
    <w:uiPriority w:val="99"/>
    <w:semiHidden/>
    <w:unhideWhenUsed/>
    <w:rsid w:val="00DB1F7F"/>
    <w:rPr>
      <w:color w:val="605E5C"/>
      <w:shd w:val="clear" w:color="auto" w:fill="E1DFDD"/>
    </w:rPr>
  </w:style>
  <w:style w:type="character" w:customStyle="1" w:styleId="10">
    <w:name w:val="Заголовок 1 Знак"/>
    <w:basedOn w:val="a0"/>
    <w:link w:val="1"/>
    <w:uiPriority w:val="9"/>
    <w:rsid w:val="00291455"/>
    <w:rPr>
      <w:rFonts w:asciiTheme="majorHAnsi" w:eastAsiaTheme="majorEastAsia" w:hAnsiTheme="majorHAnsi" w:cstheme="majorBidi"/>
      <w:color w:val="2F5496" w:themeColor="accent1" w:themeShade="BF"/>
      <w:kern w:val="0"/>
      <w:sz w:val="32"/>
      <w:szCs w:val="32"/>
      <w:lang w:val="ro-RO"/>
      <w14:ligatures w14:val="none"/>
    </w:rPr>
  </w:style>
  <w:style w:type="character" w:customStyle="1" w:styleId="30">
    <w:name w:val="Заголовок 3 Знак"/>
    <w:basedOn w:val="a0"/>
    <w:link w:val="3"/>
    <w:uiPriority w:val="9"/>
    <w:semiHidden/>
    <w:rsid w:val="00CE1149"/>
    <w:rPr>
      <w:rFonts w:asciiTheme="majorHAnsi" w:eastAsiaTheme="majorEastAsia" w:hAnsiTheme="majorHAnsi" w:cstheme="majorBidi"/>
      <w:color w:val="1F3763" w:themeColor="accent1" w:themeShade="7F"/>
      <w:kern w:val="0"/>
      <w:szCs w:val="24"/>
      <w:lang w:val="ro-RO"/>
      <w14:ligatures w14:val="none"/>
    </w:rPr>
  </w:style>
  <w:style w:type="table" w:styleId="af8">
    <w:name w:val="Table Grid"/>
    <w:basedOn w:val="a1"/>
    <w:uiPriority w:val="39"/>
    <w:rsid w:val="0059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8B2CF3"/>
    <w:pPr>
      <w:spacing w:line="240" w:lineRule="auto"/>
    </w:pPr>
    <w:rPr>
      <w:i/>
      <w:iCs/>
      <w:color w:val="44546A" w:themeColor="text2"/>
      <w:sz w:val="18"/>
      <w:szCs w:val="18"/>
    </w:rPr>
  </w:style>
  <w:style w:type="character" w:customStyle="1" w:styleId="60">
    <w:name w:val="Заголовок 6 Знак"/>
    <w:basedOn w:val="a0"/>
    <w:link w:val="6"/>
    <w:uiPriority w:val="9"/>
    <w:semiHidden/>
    <w:rsid w:val="00570F0B"/>
    <w:rPr>
      <w:rFonts w:asciiTheme="majorHAnsi" w:eastAsiaTheme="majorEastAsia" w:hAnsiTheme="majorHAnsi" w:cstheme="majorBidi"/>
      <w:color w:val="1F3763" w:themeColor="accent1" w:themeShade="7F"/>
      <w:kern w:val="0"/>
      <w:sz w:val="22"/>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2002">
      <w:bodyDiv w:val="1"/>
      <w:marLeft w:val="0"/>
      <w:marRight w:val="0"/>
      <w:marTop w:val="0"/>
      <w:marBottom w:val="0"/>
      <w:divBdr>
        <w:top w:val="none" w:sz="0" w:space="0" w:color="auto"/>
        <w:left w:val="none" w:sz="0" w:space="0" w:color="auto"/>
        <w:bottom w:val="none" w:sz="0" w:space="0" w:color="auto"/>
        <w:right w:val="none" w:sz="0" w:space="0" w:color="auto"/>
      </w:divBdr>
    </w:div>
    <w:div w:id="295717497">
      <w:bodyDiv w:val="1"/>
      <w:marLeft w:val="0"/>
      <w:marRight w:val="0"/>
      <w:marTop w:val="0"/>
      <w:marBottom w:val="0"/>
      <w:divBdr>
        <w:top w:val="none" w:sz="0" w:space="0" w:color="auto"/>
        <w:left w:val="none" w:sz="0" w:space="0" w:color="auto"/>
        <w:bottom w:val="none" w:sz="0" w:space="0" w:color="auto"/>
        <w:right w:val="none" w:sz="0" w:space="0" w:color="auto"/>
      </w:divBdr>
    </w:div>
    <w:div w:id="394161076">
      <w:bodyDiv w:val="1"/>
      <w:marLeft w:val="0"/>
      <w:marRight w:val="0"/>
      <w:marTop w:val="0"/>
      <w:marBottom w:val="0"/>
      <w:divBdr>
        <w:top w:val="none" w:sz="0" w:space="0" w:color="auto"/>
        <w:left w:val="none" w:sz="0" w:space="0" w:color="auto"/>
        <w:bottom w:val="none" w:sz="0" w:space="0" w:color="auto"/>
        <w:right w:val="none" w:sz="0" w:space="0" w:color="auto"/>
      </w:divBdr>
    </w:div>
    <w:div w:id="405494207">
      <w:bodyDiv w:val="1"/>
      <w:marLeft w:val="0"/>
      <w:marRight w:val="0"/>
      <w:marTop w:val="0"/>
      <w:marBottom w:val="0"/>
      <w:divBdr>
        <w:top w:val="none" w:sz="0" w:space="0" w:color="auto"/>
        <w:left w:val="none" w:sz="0" w:space="0" w:color="auto"/>
        <w:bottom w:val="none" w:sz="0" w:space="0" w:color="auto"/>
        <w:right w:val="none" w:sz="0" w:space="0" w:color="auto"/>
      </w:divBdr>
    </w:div>
    <w:div w:id="604575799">
      <w:bodyDiv w:val="1"/>
      <w:marLeft w:val="0"/>
      <w:marRight w:val="0"/>
      <w:marTop w:val="0"/>
      <w:marBottom w:val="0"/>
      <w:divBdr>
        <w:top w:val="none" w:sz="0" w:space="0" w:color="auto"/>
        <w:left w:val="none" w:sz="0" w:space="0" w:color="auto"/>
        <w:bottom w:val="none" w:sz="0" w:space="0" w:color="auto"/>
        <w:right w:val="none" w:sz="0" w:space="0" w:color="auto"/>
      </w:divBdr>
    </w:div>
    <w:div w:id="628825671">
      <w:bodyDiv w:val="1"/>
      <w:marLeft w:val="0"/>
      <w:marRight w:val="0"/>
      <w:marTop w:val="0"/>
      <w:marBottom w:val="0"/>
      <w:divBdr>
        <w:top w:val="none" w:sz="0" w:space="0" w:color="auto"/>
        <w:left w:val="none" w:sz="0" w:space="0" w:color="auto"/>
        <w:bottom w:val="none" w:sz="0" w:space="0" w:color="auto"/>
        <w:right w:val="none" w:sz="0" w:space="0" w:color="auto"/>
      </w:divBdr>
    </w:div>
    <w:div w:id="646127698">
      <w:bodyDiv w:val="1"/>
      <w:marLeft w:val="0"/>
      <w:marRight w:val="0"/>
      <w:marTop w:val="0"/>
      <w:marBottom w:val="0"/>
      <w:divBdr>
        <w:top w:val="none" w:sz="0" w:space="0" w:color="auto"/>
        <w:left w:val="none" w:sz="0" w:space="0" w:color="auto"/>
        <w:bottom w:val="none" w:sz="0" w:space="0" w:color="auto"/>
        <w:right w:val="none" w:sz="0" w:space="0" w:color="auto"/>
      </w:divBdr>
    </w:div>
    <w:div w:id="705564107">
      <w:bodyDiv w:val="1"/>
      <w:marLeft w:val="0"/>
      <w:marRight w:val="0"/>
      <w:marTop w:val="0"/>
      <w:marBottom w:val="0"/>
      <w:divBdr>
        <w:top w:val="none" w:sz="0" w:space="0" w:color="auto"/>
        <w:left w:val="none" w:sz="0" w:space="0" w:color="auto"/>
        <w:bottom w:val="none" w:sz="0" w:space="0" w:color="auto"/>
        <w:right w:val="none" w:sz="0" w:space="0" w:color="auto"/>
      </w:divBdr>
    </w:div>
    <w:div w:id="756555439">
      <w:bodyDiv w:val="1"/>
      <w:marLeft w:val="0"/>
      <w:marRight w:val="0"/>
      <w:marTop w:val="0"/>
      <w:marBottom w:val="0"/>
      <w:divBdr>
        <w:top w:val="none" w:sz="0" w:space="0" w:color="auto"/>
        <w:left w:val="none" w:sz="0" w:space="0" w:color="auto"/>
        <w:bottom w:val="none" w:sz="0" w:space="0" w:color="auto"/>
        <w:right w:val="none" w:sz="0" w:space="0" w:color="auto"/>
      </w:divBdr>
    </w:div>
    <w:div w:id="833185004">
      <w:bodyDiv w:val="1"/>
      <w:marLeft w:val="0"/>
      <w:marRight w:val="0"/>
      <w:marTop w:val="0"/>
      <w:marBottom w:val="0"/>
      <w:divBdr>
        <w:top w:val="none" w:sz="0" w:space="0" w:color="auto"/>
        <w:left w:val="none" w:sz="0" w:space="0" w:color="auto"/>
        <w:bottom w:val="none" w:sz="0" w:space="0" w:color="auto"/>
        <w:right w:val="none" w:sz="0" w:space="0" w:color="auto"/>
      </w:divBdr>
    </w:div>
    <w:div w:id="834763746">
      <w:bodyDiv w:val="1"/>
      <w:marLeft w:val="0"/>
      <w:marRight w:val="0"/>
      <w:marTop w:val="0"/>
      <w:marBottom w:val="0"/>
      <w:divBdr>
        <w:top w:val="none" w:sz="0" w:space="0" w:color="auto"/>
        <w:left w:val="none" w:sz="0" w:space="0" w:color="auto"/>
        <w:bottom w:val="none" w:sz="0" w:space="0" w:color="auto"/>
        <w:right w:val="none" w:sz="0" w:space="0" w:color="auto"/>
      </w:divBdr>
    </w:div>
    <w:div w:id="895361568">
      <w:bodyDiv w:val="1"/>
      <w:marLeft w:val="0"/>
      <w:marRight w:val="0"/>
      <w:marTop w:val="0"/>
      <w:marBottom w:val="0"/>
      <w:divBdr>
        <w:top w:val="none" w:sz="0" w:space="0" w:color="auto"/>
        <w:left w:val="none" w:sz="0" w:space="0" w:color="auto"/>
        <w:bottom w:val="none" w:sz="0" w:space="0" w:color="auto"/>
        <w:right w:val="none" w:sz="0" w:space="0" w:color="auto"/>
      </w:divBdr>
    </w:div>
    <w:div w:id="959334422">
      <w:bodyDiv w:val="1"/>
      <w:marLeft w:val="0"/>
      <w:marRight w:val="0"/>
      <w:marTop w:val="0"/>
      <w:marBottom w:val="0"/>
      <w:divBdr>
        <w:top w:val="none" w:sz="0" w:space="0" w:color="auto"/>
        <w:left w:val="none" w:sz="0" w:space="0" w:color="auto"/>
        <w:bottom w:val="none" w:sz="0" w:space="0" w:color="auto"/>
        <w:right w:val="none" w:sz="0" w:space="0" w:color="auto"/>
      </w:divBdr>
    </w:div>
    <w:div w:id="1085418483">
      <w:bodyDiv w:val="1"/>
      <w:marLeft w:val="0"/>
      <w:marRight w:val="0"/>
      <w:marTop w:val="0"/>
      <w:marBottom w:val="0"/>
      <w:divBdr>
        <w:top w:val="none" w:sz="0" w:space="0" w:color="auto"/>
        <w:left w:val="none" w:sz="0" w:space="0" w:color="auto"/>
        <w:bottom w:val="none" w:sz="0" w:space="0" w:color="auto"/>
        <w:right w:val="none" w:sz="0" w:space="0" w:color="auto"/>
      </w:divBdr>
    </w:div>
    <w:div w:id="1173498513">
      <w:bodyDiv w:val="1"/>
      <w:marLeft w:val="0"/>
      <w:marRight w:val="0"/>
      <w:marTop w:val="0"/>
      <w:marBottom w:val="0"/>
      <w:divBdr>
        <w:top w:val="none" w:sz="0" w:space="0" w:color="auto"/>
        <w:left w:val="none" w:sz="0" w:space="0" w:color="auto"/>
        <w:bottom w:val="none" w:sz="0" w:space="0" w:color="auto"/>
        <w:right w:val="none" w:sz="0" w:space="0" w:color="auto"/>
      </w:divBdr>
    </w:div>
    <w:div w:id="1515221343">
      <w:bodyDiv w:val="1"/>
      <w:marLeft w:val="0"/>
      <w:marRight w:val="0"/>
      <w:marTop w:val="0"/>
      <w:marBottom w:val="0"/>
      <w:divBdr>
        <w:top w:val="none" w:sz="0" w:space="0" w:color="auto"/>
        <w:left w:val="none" w:sz="0" w:space="0" w:color="auto"/>
        <w:bottom w:val="none" w:sz="0" w:space="0" w:color="auto"/>
        <w:right w:val="none" w:sz="0" w:space="0" w:color="auto"/>
      </w:divBdr>
    </w:div>
    <w:div w:id="1568222247">
      <w:bodyDiv w:val="1"/>
      <w:marLeft w:val="0"/>
      <w:marRight w:val="0"/>
      <w:marTop w:val="0"/>
      <w:marBottom w:val="0"/>
      <w:divBdr>
        <w:top w:val="none" w:sz="0" w:space="0" w:color="auto"/>
        <w:left w:val="none" w:sz="0" w:space="0" w:color="auto"/>
        <w:bottom w:val="none" w:sz="0" w:space="0" w:color="auto"/>
        <w:right w:val="none" w:sz="0" w:space="0" w:color="auto"/>
      </w:divBdr>
    </w:div>
    <w:div w:id="1726102770">
      <w:bodyDiv w:val="1"/>
      <w:marLeft w:val="0"/>
      <w:marRight w:val="0"/>
      <w:marTop w:val="0"/>
      <w:marBottom w:val="0"/>
      <w:divBdr>
        <w:top w:val="none" w:sz="0" w:space="0" w:color="auto"/>
        <w:left w:val="none" w:sz="0" w:space="0" w:color="auto"/>
        <w:bottom w:val="none" w:sz="0" w:space="0" w:color="auto"/>
        <w:right w:val="none" w:sz="0" w:space="0" w:color="auto"/>
      </w:divBdr>
    </w:div>
    <w:div w:id="1731229838">
      <w:bodyDiv w:val="1"/>
      <w:marLeft w:val="0"/>
      <w:marRight w:val="0"/>
      <w:marTop w:val="0"/>
      <w:marBottom w:val="0"/>
      <w:divBdr>
        <w:top w:val="none" w:sz="0" w:space="0" w:color="auto"/>
        <w:left w:val="none" w:sz="0" w:space="0" w:color="auto"/>
        <w:bottom w:val="none" w:sz="0" w:space="0" w:color="auto"/>
        <w:right w:val="none" w:sz="0" w:space="0" w:color="auto"/>
      </w:divBdr>
    </w:div>
    <w:div w:id="1809469083">
      <w:bodyDiv w:val="1"/>
      <w:marLeft w:val="0"/>
      <w:marRight w:val="0"/>
      <w:marTop w:val="0"/>
      <w:marBottom w:val="0"/>
      <w:divBdr>
        <w:top w:val="none" w:sz="0" w:space="0" w:color="auto"/>
        <w:left w:val="none" w:sz="0" w:space="0" w:color="auto"/>
        <w:bottom w:val="none" w:sz="0" w:space="0" w:color="auto"/>
        <w:right w:val="none" w:sz="0" w:space="0" w:color="auto"/>
      </w:divBdr>
    </w:div>
    <w:div w:id="1856116908">
      <w:bodyDiv w:val="1"/>
      <w:marLeft w:val="0"/>
      <w:marRight w:val="0"/>
      <w:marTop w:val="0"/>
      <w:marBottom w:val="0"/>
      <w:divBdr>
        <w:top w:val="none" w:sz="0" w:space="0" w:color="auto"/>
        <w:left w:val="none" w:sz="0" w:space="0" w:color="auto"/>
        <w:bottom w:val="none" w:sz="0" w:space="0" w:color="auto"/>
        <w:right w:val="none" w:sz="0" w:space="0" w:color="auto"/>
      </w:divBdr>
    </w:div>
    <w:div w:id="1916433295">
      <w:bodyDiv w:val="1"/>
      <w:marLeft w:val="0"/>
      <w:marRight w:val="0"/>
      <w:marTop w:val="0"/>
      <w:marBottom w:val="0"/>
      <w:divBdr>
        <w:top w:val="none" w:sz="0" w:space="0" w:color="auto"/>
        <w:left w:val="none" w:sz="0" w:space="0" w:color="auto"/>
        <w:bottom w:val="none" w:sz="0" w:space="0" w:color="auto"/>
        <w:right w:val="none" w:sz="0" w:space="0" w:color="auto"/>
      </w:divBdr>
    </w:div>
    <w:div w:id="20899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507031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rticip.gov.md/ro" TargetMode="External"/><Relationship Id="rId4" Type="http://schemas.openxmlformats.org/officeDocument/2006/relationships/settings" Target="settings.xml"/><Relationship Id="rId9" Type="http://schemas.openxmlformats.org/officeDocument/2006/relationships/hyperlink" Target="lex:LPLP2015070313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zakonypreludi.sk/zz/2021-214" TargetMode="External"/><Relationship Id="rId3" Type="http://schemas.openxmlformats.org/officeDocument/2006/relationships/hyperlink" Target="https://statbank.statistica.md/PxWeb/pxweb/ro/10%20Mediul%20inconjurator/10%20Mediul%20inconjurator__MED030/MED030400.px/?rxid=b2ff27d7-0b96-43c9-934b-42e1a2a9a774" TargetMode="External"/><Relationship Id="rId7" Type="http://schemas.openxmlformats.org/officeDocument/2006/relationships/hyperlink" Target="https://www.riksdagen.se/sv/dokument-och-lagar/dokument/svensk-forfattningssamling/lag-2011846-om-miljokrav-vid-upphandling-av_sfs-2011-846/" TargetMode="External"/><Relationship Id="rId2" Type="http://schemas.openxmlformats.org/officeDocument/2006/relationships/hyperlink" Target="https://eur-lex.europa.eu/RO/legal-content/glossary/accession-criteria-copenhagen-criteria.html" TargetMode="External"/><Relationship Id="rId1" Type="http://schemas.openxmlformats.org/officeDocument/2006/relationships/hyperlink" Target="https://www.consilium.europa.eu/media/57467/2022-06-2324-euco-conclusions-ro.pdf" TargetMode="External"/><Relationship Id="rId6" Type="http://schemas.openxmlformats.org/officeDocument/2006/relationships/hyperlink" Target="https://anap.gov.ro/web/ordonanta-de-urgenta-nr-71-din-29-iunie-2021-privind-promovarea-vehiculelor-de-transport-rutier-nepoluante-in-sprijinul-unei-mobilitati-cu-emisii-scazute/" TargetMode="External"/><Relationship Id="rId11" Type="http://schemas.openxmlformats.org/officeDocument/2006/relationships/hyperlink" Target="https://www.eduskunta.fi/FI/vaski/EduskunnanVastaus/Documents/ev_96+2011.pdf" TargetMode="External"/><Relationship Id="rId5" Type="http://schemas.openxmlformats.org/officeDocument/2006/relationships/hyperlink" Target="https://eur-lex.europa.eu/legal-content/RO/TXT/PDF/?uri=CELEX:22022D1997&amp;from=EN" TargetMode="External"/><Relationship Id="rId10" Type="http://schemas.openxmlformats.org/officeDocument/2006/relationships/hyperlink" Target="https://www.gazzettaufficiale.it/gunewsletter/dettaglio.jsp?service=1&amp;datagu=2011-03-24&amp;task=dettaglio&amp;numgu=68&amp;redaz=011G0063&amp;tmstp=1301302373955" TargetMode="External"/><Relationship Id="rId4" Type="http://schemas.openxmlformats.org/officeDocument/2006/relationships/hyperlink" Target="https://commission.europa.eu/strategy-and-policy/priorities-2019-2024/european-green-deal/transport-and-green-deal_ro" TargetMode="External"/><Relationship Id="rId9" Type="http://schemas.openxmlformats.org/officeDocument/2006/relationships/hyperlink" Target="https://diariodarepublica.pt/dr/en/detail/decree-law/140-2010-306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A762-AB21-41AB-ACFD-A7BCFB68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15688</Words>
  <Characters>89425</Characters>
  <Application>Microsoft Office Word</Application>
  <DocSecurity>0</DocSecurity>
  <Lines>745</Lines>
  <Paragraphs>209</Paragraphs>
  <ScaleCrop>false</ScaleCrop>
  <HeadingPairs>
    <vt:vector size="2" baseType="variant">
      <vt:variant>
        <vt:lpstr>Titlu</vt:lpstr>
      </vt:variant>
      <vt:variant>
        <vt:i4>1</vt:i4>
      </vt:variant>
    </vt:vector>
  </HeadingPairs>
  <TitlesOfParts>
    <vt:vector size="1" baseType="lpstr">
      <vt:lpstr/>
    </vt:vector>
  </TitlesOfParts>
  <Company>INOVA</Company>
  <LinksUpToDate>false</LinksUpToDate>
  <CharactersWithSpaces>104904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Machidon</dc:creator>
  <cp:keywords/>
  <dc:description/>
  <cp:lastModifiedBy>Alexandru Palii</cp:lastModifiedBy>
  <cp:revision>2</cp:revision>
  <cp:lastPrinted>2024-12-18T03:00:00Z</cp:lastPrinted>
  <dcterms:created xsi:type="dcterms:W3CDTF">2025-06-11T05:40:00Z</dcterms:created>
  <dcterms:modified xsi:type="dcterms:W3CDTF">2025-06-11T05:40:00Z</dcterms:modified>
</cp:coreProperties>
</file>