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2100"/>
      </w:tblGrid>
      <w:tr w:rsidR="00B90A33" w:rsidRPr="004F341F" w:rsidTr="00603C84">
        <w:trPr>
          <w:tblCellSpacing w:w="0" w:type="dxa"/>
        </w:trPr>
        <w:tc>
          <w:tcPr>
            <w:tcW w:w="0" w:type="auto"/>
            <w:hideMark/>
          </w:tcPr>
          <w:p w:rsidR="00B90A33" w:rsidRPr="00D753B4" w:rsidRDefault="00D753B4" w:rsidP="00603C84">
            <w:pPr>
              <w:spacing w:after="0" w:line="276" w:lineRule="auto"/>
              <w:ind w:left="-284" w:firstLine="284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753B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Notă informativă</w:t>
            </w:r>
          </w:p>
          <w:p w:rsidR="00B90A33" w:rsidRPr="00D753B4" w:rsidRDefault="00B90A33" w:rsidP="00603C84">
            <w:pPr>
              <w:spacing w:after="0" w:line="276" w:lineRule="auto"/>
              <w:ind w:left="-284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val="ro-RO" w:eastAsia="ru-RU"/>
              </w:rPr>
            </w:pPr>
            <w:r w:rsidRPr="00D753B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cu privire la </w:t>
            </w: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val="ro-RO" w:eastAsia="ru-RU"/>
              </w:rPr>
              <w:t>proiectul Legii privind Casa Socială</w:t>
            </w:r>
            <w:r w:rsidR="00D753B4" w:rsidRPr="00D753B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val="ro-RO" w:eastAsia="ru-RU"/>
              </w:rPr>
              <w:t xml:space="preserve"> </w:t>
            </w:r>
            <w:r w:rsidRPr="00D753B4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val="ro-RO" w:eastAsia="ru-RU"/>
              </w:rPr>
              <w:t>a Constructorilor</w:t>
            </w:r>
          </w:p>
        </w:tc>
        <w:tc>
          <w:tcPr>
            <w:tcW w:w="2100" w:type="dxa"/>
            <w:hideMark/>
          </w:tcPr>
          <w:p w:rsidR="00B90A33" w:rsidRPr="00D753B4" w:rsidRDefault="00B90A33" w:rsidP="00603C84">
            <w:pPr>
              <w:spacing w:after="0"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 w:eastAsia="ru-RU"/>
              </w:rPr>
            </w:pPr>
          </w:p>
        </w:tc>
      </w:tr>
    </w:tbl>
    <w:p w:rsidR="00B90A33" w:rsidRPr="00B90A33" w:rsidRDefault="00B90A33" w:rsidP="00603C84">
      <w:pPr>
        <w:tabs>
          <w:tab w:val="left" w:pos="3870"/>
        </w:tabs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90A33">
        <w:rPr>
          <w:rFonts w:ascii="Times New Roman" w:eastAsia="Times New Roman" w:hAnsi="Times New Roman" w:cs="Times New Roman"/>
          <w:color w:val="3A8BC3"/>
          <w:sz w:val="28"/>
          <w:szCs w:val="28"/>
          <w:lang w:val="ro-RO" w:eastAsia="ru-RU"/>
        </w:rPr>
        <w:t>  </w:t>
      </w:r>
      <w:r w:rsidRPr="00B90A33">
        <w:rPr>
          <w:rFonts w:ascii="Times New Roman" w:eastAsia="Times New Roman" w:hAnsi="Times New Roman" w:cs="Times New Roman"/>
          <w:color w:val="3A8BC3"/>
          <w:sz w:val="28"/>
          <w:szCs w:val="28"/>
          <w:lang w:val="ro-RO" w:eastAsia="ru-RU"/>
        </w:rPr>
        <w:tab/>
      </w:r>
    </w:p>
    <w:p w:rsidR="00603C84" w:rsidRPr="00603C84" w:rsidRDefault="00603C84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Efectul scontat al proiectului legii </w:t>
      </w:r>
      <w:r w:rsidR="002448A8" w:rsidRPr="002448A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ro-RO" w:eastAsia="ru-RU"/>
        </w:rPr>
        <w:t>privind Casa Socială a Constructorilor</w:t>
      </w:r>
      <w:r w:rsidR="002448A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din punct de vedere social și economic constă în sporirea protecției sociale a membrilor din ramura construcțiilor, diminuarea dependenței financiare de la posibilitățile bugetului de stat, racordarea la cerințele standardelor europene și internaționale în domeniul protecției sociale a constructorilor, precum și sporirea competitivității întreprinderilor naționale prin prisma menținerii în țară a personalului calificat.</w:t>
      </w:r>
    </w:p>
    <w:p w:rsidR="00A8772C" w:rsidRDefault="00B90A33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Scop</w:t>
      </w:r>
      <w:r w:rsidR="002448A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ul elaborării proiectului legii 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 fost determinat de necesitatea stri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ngentă de protecție socială a salariaților, crearea condiț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iilor favorabile pentru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apărarea intereselor de producț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ie a între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prinderilor din ramura construcții, drumuri ș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 din ind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ustria materialelor de construcț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ie în perioada suspendării ac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tivității, </w:t>
      </w:r>
      <w:r w:rsid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determinate de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condiț</w:t>
      </w:r>
      <w:r w:rsid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iile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meteo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rologice nefavorabile, calamităț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 naturale,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pandemie,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crize </w:t>
      </w:r>
      <w:proofErr w:type="spellStart"/>
      <w:r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economico</w:t>
      </w:r>
      <w:proofErr w:type="spellEnd"/>
      <w:r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-financiare </w:t>
      </w:r>
      <w:r w:rsidR="00252ECF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la nivel mondial sau național. </w:t>
      </w:r>
      <w:r w:rsidR="002448A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Suspendarea activității</w:t>
      </w:r>
      <w:r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se răsfrânge negativ asupra </w:t>
      </w:r>
      <w:r w:rsidR="00A8772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agenților economici </w:t>
      </w:r>
      <w:proofErr w:type="spellStart"/>
      <w:r w:rsidR="00A8772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cît</w:t>
      </w:r>
      <w:proofErr w:type="spellEnd"/>
      <w:r w:rsidR="00A8772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și asupra </w:t>
      </w:r>
      <w:r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salariaților </w:t>
      </w:r>
      <w:r w:rsidR="00A8772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care </w:t>
      </w:r>
      <w:proofErr w:type="spellStart"/>
      <w:r w:rsidR="00A8772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rămîn</w:t>
      </w:r>
      <w:proofErr w:type="spellEnd"/>
      <w:r w:rsidR="00A8772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fără un loc de muncă garantat, ceea ce duce la fenomenul exodului forței de muncă calificate.</w:t>
      </w:r>
      <w:r w:rsidR="00252ECF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</w:p>
    <w:p w:rsidR="007E7E5C" w:rsidRPr="00603C84" w:rsidRDefault="007E7E5C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Conform legislaț</w:t>
      </w:r>
      <w:r w:rsidR="00B90A33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iei î</w:t>
      </w:r>
      <w:r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 vigoare, în perioada ș</w:t>
      </w:r>
      <w:r w:rsidR="00B90A33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omajului </w:t>
      </w:r>
      <w:r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tehnic, angajatorii sunt obligați să acorde salariaților o indemnizaț</w:t>
      </w:r>
      <w:r w:rsidR="00B90A33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ie </w:t>
      </w:r>
      <w:r w:rsidR="00552924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nu</w:t>
      </w:r>
      <w:r w:rsidR="00B90A33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mai mică de 50 la sută din</w:t>
      </w:r>
      <w:r w:rsidR="00552924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salariul lor de bază</w:t>
      </w:r>
      <w:r w:rsidR="00202627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Însă, </w:t>
      </w:r>
      <w:r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agenț</w:t>
      </w:r>
      <w:r w:rsidR="00B90A33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ii economici, practic, sunt în im</w:t>
      </w:r>
      <w:r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posibilitate de a plăti salariaților retribuția ce li se cuvine pentru staț</w:t>
      </w:r>
      <w:r w:rsidR="00552924" w:rsidRP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ionare.  </w:t>
      </w:r>
    </w:p>
    <w:p w:rsidR="007E7E5C" w:rsidRDefault="00B90A33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Acest proiect de lege prevede constituirea  unui fo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nd special ce va asigura protecț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ia d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repturilor salariale ale angajaț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ilor din domeniul constr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ucțiilor, drumurilor ș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 ind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ustria materialelor de construcție. Astfel, salariații 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vor beneficia pe perioada întreruperii activită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ții de o îndemnizaț</w:t>
      </w:r>
      <w:r w:rsidR="0055292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ie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al cărei cuantum lunar este egal cu 75% din media pe ultimele trei luni a  salariului  de bază</w:t>
      </w:r>
      <w:r w:rsidR="0055292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brut. 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 Fondul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necesar pentru plata indemnizaț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iei, se va c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onstitui pe baza:</w:t>
      </w:r>
    </w:p>
    <w:p w:rsidR="007E7E5C" w:rsidRDefault="007E7E5C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 contribuț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iei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obligatorie a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agenț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ilor economici repr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ezentând 1% din valoarea producț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iei reali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zate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încasate – pentru unitățile din construcț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ii </w:t>
      </w:r>
      <w:proofErr w:type="spellStart"/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din valoarea materialelor </w:t>
      </w:r>
      <w:proofErr w:type="spellStart"/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articolelor de </w:t>
      </w:r>
      <w:proofErr w:type="spellStart"/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construcţii</w:t>
      </w:r>
      <w:proofErr w:type="spellEnd"/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comercializate – pentru producătorii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 materialelor de construcț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ii, cu reflectare la cheltuielile gener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administrative;</w:t>
      </w:r>
    </w:p>
    <w:p w:rsidR="007E7E5C" w:rsidRDefault="007E7E5C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  contribuția obligatorie a salariaț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ilor reprezen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tând 1% din salariul lunar brut</w:t>
      </w:r>
      <w:r w:rsidR="0055292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;</w:t>
      </w:r>
    </w:p>
    <w:p w:rsidR="007E7E5C" w:rsidRPr="004F341F" w:rsidRDefault="007E7E5C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4F341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contribuția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agenților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economici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reprezentând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1% din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valoarea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lucrărilor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executate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respectiv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sumelor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încasate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unitățile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construcții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valoarea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materialelor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articolelor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construcții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comercializate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producătorii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materialelor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construcții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reflectarea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cheltuielile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generale</w:t>
      </w:r>
      <w:proofErr w:type="spellEnd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41F" w:rsidRPr="004F341F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4F341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F341F">
        <w:rPr>
          <w:rFonts w:ascii="Times New Roman" w:hAnsi="Times New Roman" w:cs="Times New Roman"/>
          <w:sz w:val="28"/>
          <w:szCs w:val="28"/>
          <w:lang w:val="en-US"/>
        </w:rPr>
        <w:t xml:space="preserve"> administrative.</w:t>
      </w:r>
      <w:bookmarkStart w:id="0" w:name="_GoBack"/>
      <w:bookmarkEnd w:id="0"/>
      <w:r w:rsidR="00B90A33" w:rsidRPr="004F341F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</w:p>
    <w:p w:rsidR="006D662C" w:rsidRDefault="00B90A33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Casa Socială a Constructorilor 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în perspectivă, pe </w:t>
      </w:r>
      <w:proofErr w:type="spellStart"/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lîngă</w:t>
      </w:r>
      <w:proofErr w:type="spellEnd"/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protecția socială, va oferi ș</w:t>
      </w:r>
      <w:r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 alte servicii, care vor fi prevăzute în Statut, cu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 ar fi</w:t>
      </w:r>
      <w:r w:rsidR="006D66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6D662C" w:rsidRDefault="006D662C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gramStart"/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acordarea</w:t>
      </w:r>
      <w:proofErr w:type="gramEnd"/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scrisorilor de garanț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ie bancar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ă pe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ntru participarea la licitații;</w:t>
      </w:r>
    </w:p>
    <w:p w:rsidR="006D662C" w:rsidRDefault="006D662C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- 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înființarea unei Ș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coli de 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Meserii, după modelul ș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colilor din Uniunea Europeană;</w:t>
      </w:r>
    </w:p>
    <w:p w:rsidR="006D662C" w:rsidRDefault="006D662C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-</w:t>
      </w:r>
      <w:r w:rsidR="00D753B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dezvolta</w:t>
      </w:r>
      <w:r w:rsidR="00D753B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rea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 un</w:t>
      </w:r>
      <w:r w:rsidR="00D753B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ui</w:t>
      </w:r>
      <w:r w:rsidR="00B90A33" w:rsidRPr="00B90A33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program de pensii private, în paralel cu cele acordate de stat, concedii</w:t>
      </w:r>
      <w:r w:rsidR="007E7E5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anuale, etc.  </w:t>
      </w:r>
    </w:p>
    <w:p w:rsidR="00603C84" w:rsidRDefault="00ED37E5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lastRenderedPageBreak/>
        <w:t>Cu referire la riscurile care pot apărea în urma aplicării normelor propuse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p w:rsidR="00603C84" w:rsidRPr="00603C84" w:rsidRDefault="00603C84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lipsa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entități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efectua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controlul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privind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gestionarea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mijloacelor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pentru protecția socială a constructorilor</w:t>
      </w:r>
      <w:r w:rsidRPr="00603C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03C84" w:rsidRDefault="00D753B4" w:rsidP="00603C84">
      <w:pPr>
        <w:pStyle w:val="ListParagraph"/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ED37E5" w:rsidRPr="00D753B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proofErr w:type="gramStart"/>
      <w:r w:rsidR="00ED37E5" w:rsidRPr="00D753B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asigurarea</w:t>
      </w:r>
      <w:proofErr w:type="gramEnd"/>
      <w:r w:rsidR="00ED37E5" w:rsidRPr="00D753B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transparenței din partea Casei Sociale a Constructorilor</w:t>
      </w:r>
      <w:r w:rsidR="00603C8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;</w:t>
      </w:r>
    </w:p>
    <w:p w:rsidR="00D753B4" w:rsidRPr="00ED37E5" w:rsidRDefault="00603C84" w:rsidP="00603C84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</w:t>
      </w:r>
      <w:r w:rsidR="00D753B4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echitatea în mecanismul de selectare și coordonare a listei salariaților care vor beneficia de îndemnizații.</w:t>
      </w:r>
    </w:p>
    <w:p w:rsidR="00B90A33" w:rsidRPr="00B90A33" w:rsidRDefault="00A8772C" w:rsidP="00A8772C">
      <w:pPr>
        <w:spacing w:line="276" w:lineRule="auto"/>
        <w:ind w:left="283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Ca urmare a riscurilor prenotate, considerăm oportun contribuția facultativă a agenților economici și salariaților în Fondul pentru protecția socială a membrilor Casei Sociale a Constructorilor și nu obligatorie.</w:t>
      </w:r>
    </w:p>
    <w:p w:rsidR="00B76B7D" w:rsidRPr="00B90A33" w:rsidRDefault="00B76B7D" w:rsidP="00603C84">
      <w:pPr>
        <w:spacing w:line="276" w:lineRule="auto"/>
        <w:ind w:left="-284" w:firstLine="284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76B7D" w:rsidRPr="00B90A33" w:rsidSect="00603C84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630"/>
    <w:multiLevelType w:val="hybridMultilevel"/>
    <w:tmpl w:val="AB9E7EE6"/>
    <w:lvl w:ilvl="0" w:tplc="B55AB3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032026"/>
    <w:multiLevelType w:val="hybridMultilevel"/>
    <w:tmpl w:val="37F0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33"/>
    <w:rsid w:val="00202627"/>
    <w:rsid w:val="002448A8"/>
    <w:rsid w:val="00252ECF"/>
    <w:rsid w:val="004F341F"/>
    <w:rsid w:val="00552924"/>
    <w:rsid w:val="00603C84"/>
    <w:rsid w:val="006D662C"/>
    <w:rsid w:val="007E7E5C"/>
    <w:rsid w:val="007F5764"/>
    <w:rsid w:val="00A8772C"/>
    <w:rsid w:val="00B76B7D"/>
    <w:rsid w:val="00B90A33"/>
    <w:rsid w:val="00D753B4"/>
    <w:rsid w:val="00ED37E5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80724-70C0-4E09-BB9F-57BFACCA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A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0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Vioctor Talmaci</dc:creator>
  <cp:keywords/>
  <dc:description/>
  <cp:lastModifiedBy>Victoria Jardan</cp:lastModifiedBy>
  <cp:revision>2</cp:revision>
  <cp:lastPrinted>2021-11-12T08:25:00Z</cp:lastPrinted>
  <dcterms:created xsi:type="dcterms:W3CDTF">2022-01-21T08:43:00Z</dcterms:created>
  <dcterms:modified xsi:type="dcterms:W3CDTF">2022-01-21T08:43:00Z</dcterms:modified>
</cp:coreProperties>
</file>