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38" w:rsidRDefault="00D42138" w:rsidP="00D421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lul 423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se modifică și va avea următorul cuprins:</w:t>
      </w:r>
    </w:p>
    <w:p w:rsidR="00D42138" w:rsidRPr="00B94923" w:rsidRDefault="00D42138" w:rsidP="00D42138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B94923">
        <w:rPr>
          <w:rFonts w:ascii="Times New Roman" w:hAnsi="Times New Roman" w:cs="Times New Roman"/>
          <w:sz w:val="28"/>
          <w:szCs w:val="28"/>
        </w:rPr>
        <w:t>Articolul 423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B94923">
        <w:rPr>
          <w:rFonts w:ascii="Times New Roman" w:hAnsi="Times New Roman" w:cs="Times New Roman"/>
          <w:sz w:val="28"/>
          <w:szCs w:val="28"/>
        </w:rPr>
        <w:t>. Administrația publică locală</w:t>
      </w:r>
    </w:p>
    <w:p w:rsidR="00D42138" w:rsidRDefault="00D42138" w:rsidP="00D42138">
      <w:pPr>
        <w:pStyle w:val="ListParagraph"/>
        <w:numPr>
          <w:ilvl w:val="0"/>
          <w:numId w:val="2"/>
        </w:numPr>
        <w:spacing w:after="0" w:line="240" w:lineRule="auto"/>
        <w:ind w:left="0" w:firstLine="948"/>
        <w:jc w:val="both"/>
        <w:rPr>
          <w:rFonts w:ascii="Times New Roman" w:hAnsi="Times New Roman" w:cs="Times New Roman"/>
          <w:sz w:val="28"/>
          <w:szCs w:val="28"/>
        </w:rPr>
      </w:pPr>
      <w:r w:rsidRPr="00B94923">
        <w:rPr>
          <w:rFonts w:ascii="Times New Roman" w:hAnsi="Times New Roman" w:cs="Times New Roman"/>
          <w:sz w:val="28"/>
          <w:szCs w:val="28"/>
        </w:rPr>
        <w:t xml:space="preserve"> </w:t>
      </w:r>
      <w:r w:rsidRPr="00E54B67">
        <w:rPr>
          <w:rFonts w:ascii="Times New Roman" w:hAnsi="Times New Roman" w:cs="Times New Roman"/>
          <w:sz w:val="28"/>
          <w:szCs w:val="28"/>
        </w:rPr>
        <w:t xml:space="preserve">Contravențiile prevăzute la art. </w:t>
      </w:r>
      <w:r>
        <w:rPr>
          <w:rFonts w:ascii="Times New Roman" w:hAnsi="Times New Roman" w:cs="Times New Roman"/>
          <w:sz w:val="28"/>
          <w:szCs w:val="28"/>
        </w:rPr>
        <w:t xml:space="preserve">154, </w:t>
      </w:r>
      <w:r w:rsidRPr="00E54B67">
        <w:rPr>
          <w:rFonts w:ascii="Times New Roman" w:hAnsi="Times New Roman" w:cs="Times New Roman"/>
          <w:sz w:val="28"/>
          <w:szCs w:val="28"/>
        </w:rPr>
        <w:t xml:space="preserve">178 </w:t>
      </w:r>
      <w:proofErr w:type="spellStart"/>
      <w:r w:rsidRPr="00E54B6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54B67">
        <w:rPr>
          <w:rFonts w:ascii="Times New Roman" w:hAnsi="Times New Roman" w:cs="Times New Roman"/>
          <w:sz w:val="28"/>
          <w:szCs w:val="28"/>
        </w:rPr>
        <w:t xml:space="preserve"> 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67">
        <w:rPr>
          <w:rFonts w:ascii="Times New Roman" w:hAnsi="Times New Roman" w:cs="Times New Roman"/>
          <w:sz w:val="28"/>
          <w:szCs w:val="28"/>
        </w:rPr>
        <w:t>se constată de către organele specializate ale administrației publice locale. Procesele-verbale cu privire la contravenții</w:t>
      </w:r>
      <w:r>
        <w:rPr>
          <w:rFonts w:ascii="Times New Roman" w:hAnsi="Times New Roman" w:cs="Times New Roman"/>
          <w:sz w:val="28"/>
          <w:szCs w:val="28"/>
        </w:rPr>
        <w:t>le prevăzute la art. 178 și 179</w:t>
      </w:r>
      <w:r w:rsidRPr="00E54B67">
        <w:rPr>
          <w:rFonts w:ascii="Times New Roman" w:hAnsi="Times New Roman" w:cs="Times New Roman"/>
          <w:sz w:val="28"/>
          <w:szCs w:val="28"/>
        </w:rPr>
        <w:t xml:space="preserve"> se remit spre examinare în fond instanței de judecată.</w:t>
      </w:r>
    </w:p>
    <w:p w:rsidR="00D42138" w:rsidRPr="00E54B67" w:rsidRDefault="00D42138" w:rsidP="00D42138">
      <w:pPr>
        <w:pStyle w:val="ListParagraph"/>
        <w:numPr>
          <w:ilvl w:val="0"/>
          <w:numId w:val="2"/>
        </w:numPr>
        <w:spacing w:after="0" w:line="240" w:lineRule="auto"/>
        <w:ind w:left="0" w:firstLine="9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Contravențiile prevăzute la art. </w:t>
      </w:r>
      <w:r w:rsidRPr="00B94923">
        <w:rPr>
          <w:rFonts w:ascii="Times New Roman" w:hAnsi="Times New Roman" w:cs="Times New Roman"/>
          <w:sz w:val="28"/>
          <w:szCs w:val="28"/>
        </w:rPr>
        <w:t xml:space="preserve">273 pct. 9),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94923">
        <w:rPr>
          <w:rFonts w:ascii="Times New Roman" w:hAnsi="Times New Roman" w:cs="Times New Roman"/>
          <w:sz w:val="28"/>
          <w:szCs w:val="28"/>
        </w:rPr>
        <w:t>11), 15) și 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67">
        <w:rPr>
          <w:rFonts w:ascii="Times New Roman" w:hAnsi="Times New Roman" w:cs="Times New Roman"/>
          <w:sz w:val="28"/>
          <w:szCs w:val="28"/>
        </w:rPr>
        <w:t>se constată de către organele specializate ale administrației publice locale.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923">
        <w:rPr>
          <w:rFonts w:ascii="Times New Roman" w:hAnsi="Times New Roman" w:cs="Times New Roman"/>
          <w:sz w:val="28"/>
          <w:szCs w:val="28"/>
        </w:rPr>
        <w:t xml:space="preserve">Procesele-verbale cu privire la </w:t>
      </w:r>
      <w:r>
        <w:rPr>
          <w:rFonts w:ascii="Times New Roman" w:hAnsi="Times New Roman" w:cs="Times New Roman"/>
          <w:sz w:val="28"/>
          <w:szCs w:val="28"/>
        </w:rPr>
        <w:t xml:space="preserve">aceste </w:t>
      </w:r>
      <w:r w:rsidRPr="00B94923">
        <w:rPr>
          <w:rFonts w:ascii="Times New Roman" w:hAnsi="Times New Roman" w:cs="Times New Roman"/>
          <w:sz w:val="28"/>
          <w:szCs w:val="28"/>
        </w:rPr>
        <w:t>contravenții se remit spre examinare comisiilor administrative.</w:t>
      </w:r>
      <w:r w:rsidRPr="00E54B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138" w:rsidRDefault="00D42138" w:rsidP="00D42138">
      <w:pPr>
        <w:pStyle w:val="ListParagraph"/>
        <w:spacing w:after="0" w:line="240" w:lineRule="auto"/>
        <w:ind w:left="0" w:firstLine="948"/>
        <w:jc w:val="both"/>
        <w:rPr>
          <w:rFonts w:ascii="Times New Roman" w:hAnsi="Times New Roman" w:cs="Times New Roman"/>
          <w:sz w:val="28"/>
          <w:szCs w:val="28"/>
        </w:rPr>
      </w:pPr>
      <w:r w:rsidRPr="00480E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0E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80EDB">
        <w:rPr>
          <w:rFonts w:ascii="Times New Roman" w:hAnsi="Times New Roman" w:cs="Times New Roman"/>
          <w:sz w:val="28"/>
          <w:szCs w:val="28"/>
        </w:rPr>
        <w:t>Sînt</w:t>
      </w:r>
      <w:proofErr w:type="spellEnd"/>
      <w:r w:rsidRPr="00480EDB">
        <w:rPr>
          <w:rFonts w:ascii="Times New Roman" w:hAnsi="Times New Roman" w:cs="Times New Roman"/>
          <w:sz w:val="28"/>
          <w:szCs w:val="28"/>
        </w:rPr>
        <w:t xml:space="preserve"> în drept să constate contravenții </w:t>
      </w:r>
      <w:proofErr w:type="spellStart"/>
      <w:r w:rsidRPr="00480ED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0EDB">
        <w:rPr>
          <w:rFonts w:ascii="Times New Roman" w:hAnsi="Times New Roman" w:cs="Times New Roman"/>
          <w:sz w:val="28"/>
          <w:szCs w:val="28"/>
        </w:rPr>
        <w:t xml:space="preserve"> să încheie procese-verbale primarul, </w:t>
      </w:r>
      <w:r>
        <w:rPr>
          <w:rFonts w:ascii="Times New Roman" w:hAnsi="Times New Roman" w:cs="Times New Roman"/>
          <w:sz w:val="28"/>
          <w:szCs w:val="28"/>
        </w:rPr>
        <w:t xml:space="preserve">viceprimarul, </w:t>
      </w:r>
      <w:r w:rsidRPr="00480EDB">
        <w:rPr>
          <w:rFonts w:ascii="Times New Roman" w:hAnsi="Times New Roman" w:cs="Times New Roman"/>
          <w:sz w:val="28"/>
          <w:szCs w:val="28"/>
        </w:rPr>
        <w:t>arhitectul-</w:t>
      </w:r>
      <w:proofErr w:type="spellStart"/>
      <w:r w:rsidRPr="00480ED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480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EDB">
        <w:rPr>
          <w:rFonts w:ascii="Times New Roman" w:hAnsi="Times New Roman" w:cs="Times New Roman"/>
          <w:sz w:val="28"/>
          <w:szCs w:val="28"/>
        </w:rPr>
        <w:t>şefii</w:t>
      </w:r>
      <w:proofErr w:type="spellEnd"/>
      <w:r w:rsidRPr="00480EDB">
        <w:rPr>
          <w:rFonts w:ascii="Times New Roman" w:hAnsi="Times New Roman" w:cs="Times New Roman"/>
          <w:sz w:val="28"/>
          <w:szCs w:val="28"/>
        </w:rPr>
        <w:t xml:space="preserve"> subdiviziunilor specializate din cadrul administrației publice locale </w:t>
      </w:r>
      <w:proofErr w:type="spellStart"/>
      <w:r w:rsidRPr="00480ED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0EDB">
        <w:rPr>
          <w:rFonts w:ascii="Times New Roman" w:hAnsi="Times New Roman" w:cs="Times New Roman"/>
          <w:sz w:val="28"/>
          <w:szCs w:val="28"/>
        </w:rPr>
        <w:t xml:space="preserve"> adjuncții lor, </w:t>
      </w:r>
      <w:proofErr w:type="spellStart"/>
      <w:r w:rsidRPr="00480EDB">
        <w:rPr>
          <w:rFonts w:ascii="Times New Roman" w:hAnsi="Times New Roman" w:cs="Times New Roman"/>
          <w:sz w:val="28"/>
          <w:szCs w:val="28"/>
        </w:rPr>
        <w:t>specialiştii</w:t>
      </w:r>
      <w:proofErr w:type="spellEnd"/>
      <w:r w:rsidRPr="00480EDB">
        <w:rPr>
          <w:rFonts w:ascii="Times New Roman" w:hAnsi="Times New Roman" w:cs="Times New Roman"/>
          <w:sz w:val="28"/>
          <w:szCs w:val="28"/>
        </w:rPr>
        <w:t xml:space="preserve"> principali </w:t>
      </w:r>
      <w:proofErr w:type="spellStart"/>
      <w:r w:rsidRPr="00480ED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0EDB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oordonatori din cadrul acestora desemnați de către primar.</w:t>
      </w:r>
    </w:p>
    <w:p w:rsidR="00D42138" w:rsidRPr="00F60533" w:rsidRDefault="00D42138" w:rsidP="00D42138">
      <w:pPr>
        <w:pStyle w:val="ListParagraph"/>
        <w:spacing w:after="0" w:line="240" w:lineRule="auto"/>
        <w:ind w:left="0" w:firstLine="9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Pr="0058715E">
        <w:rPr>
          <w:rFonts w:ascii="Times New Roman" w:hAnsi="Times New Roman" w:cs="Times New Roman"/>
          <w:sz w:val="28"/>
          <w:szCs w:val="28"/>
        </w:rPr>
        <w:t>În cazul constatării contravenții</w:t>
      </w:r>
      <w:r>
        <w:rPr>
          <w:rFonts w:ascii="Times New Roman" w:hAnsi="Times New Roman" w:cs="Times New Roman"/>
          <w:sz w:val="28"/>
          <w:szCs w:val="28"/>
        </w:rPr>
        <w:t>lor</w:t>
      </w:r>
      <w:r w:rsidRPr="0058715E">
        <w:rPr>
          <w:rFonts w:ascii="Times New Roman" w:hAnsi="Times New Roman" w:cs="Times New Roman"/>
          <w:sz w:val="28"/>
          <w:szCs w:val="28"/>
        </w:rPr>
        <w:t xml:space="preserve"> prevăzute la art. 178 și 179, agentul constatator este în drept să dispună sistarea executării lucrărilor de construcție și să solicite instanței de judecată aplicarea măsurii de </w:t>
      </w:r>
      <w:r>
        <w:rPr>
          <w:rFonts w:ascii="Times New Roman" w:hAnsi="Times New Roman" w:cs="Times New Roman"/>
          <w:sz w:val="28"/>
          <w:szCs w:val="28"/>
        </w:rPr>
        <w:t>siguranță prevăzute la art. 439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587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”.</w:t>
      </w:r>
      <w:r w:rsidRPr="00F60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698" w:rsidRDefault="00296698" w:rsidP="00D42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96698" w:rsidRDefault="00296698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D42138" w:rsidRPr="00D42138" w:rsidRDefault="00D42138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</w:pPr>
      <w:r w:rsidRPr="00D42138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Autoritățile locale au devenit </w:t>
      </w:r>
      <w:proofErr w:type="spellStart"/>
      <w:r w:rsidRPr="00D42138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Agenti</w:t>
      </w:r>
      <w:proofErr w:type="spellEnd"/>
      <w:r w:rsidRPr="00D42138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 Constatatori pentru următoarele Contravenții: </w:t>
      </w:r>
    </w:p>
    <w:p w:rsidR="00296698" w:rsidRDefault="00296698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Articolul 154.</w:t>
      </w: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Încălcarea regulilor de gestionare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Nerespectarea modului stabilit de colectare, păstrare, transport, depozitare, ardere, neutralizare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evacuare, inclusiv în obiectivele acvatice, în subsol etc.,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industriale,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menajere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altă natură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20 la 40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 sau cu muncă neremunerată în folosul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comunităţii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pînă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60 de ore, cu amendă de la 200 la 300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3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(2) Faptele specificate la alin.(1) care au creat pericolul poluării mediului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40 la 80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fizice, cu amendă de la 300 la 400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3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(3) Depozitarea arbitrară sau în locuri interzise ori utilizarea unor alte procedee de evacuare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fără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autorităţilor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abilitate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30 la 50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 sau cu muncă neremunerată în folosul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comunităţii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pînă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60 de ore, cu amendă de la 200 la 300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3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(4) Tăinuirea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informaţiei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prezentarea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intenţionată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false sau incomplete privind gestionarea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privind evacuarea lor în caz de avarie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40 la 50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 sau cu muncă neremunerată în folosul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comunităţii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pînă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60 de ore, cu amendă de la </w:t>
      </w: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300 la 500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6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(5) Încălcarea regulilor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evidenţă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control primar în domeniul gestionării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nerespectarea termenelor de prezentare a dărilor de seamă în domeniul nominalizat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40 la 50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 sau cu muncă neremunerată în folosul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comunităţii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pînă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60 de ore, cu amendă de la 200 la 300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3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(6) Transmiterea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periculoase unor persoane fizice sau juridice care nu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deţin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licenţe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pentru transportul, păstrarea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prelucrarea lor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30 la 50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fizice, cu amendă de la 300 la 400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3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(7) Nerespectarea regimului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regulilor de exploatare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instalaţiilor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prelucrare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neutralizare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 locurilor de depozitare ori de înhumare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industriale, menajere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altă natură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50 la 70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fizice, cu amendă de la 400 la 500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6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(8) Proiectarea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întreprinderi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alte obiective, precum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implementarea de materiale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tehnologii care nu corespund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securitate a utilizării, prelucrării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evacuării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50 la 70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fizice, cu amendă de la 200 la 300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3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(9) Nerespectarea regulilor privind importul, exportul sau tranzitul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50 la 100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fizice, cu amendă de la 200 la 300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 cu sau fără privarea, în ambele cazuri, de dreptul de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anumită activitate pe un termen de la 6 luni la un an.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(10) Neasigurarea colectării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evacuării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admiterea stocării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deşeurilor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orice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provenienţă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50 la 100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cu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răspundere.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(11)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Neîntreprinderea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măsurilor de lichidare a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gunoiştilor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neautorizate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necontrolate </w:t>
      </w:r>
    </w:p>
    <w:p w:rsidR="00B34135" w:rsidRPr="00B34135" w:rsidRDefault="00B34135" w:rsidP="00B3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50 la 100 de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cu </w:t>
      </w:r>
      <w:proofErr w:type="spellStart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B3413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răspundere.</w:t>
      </w:r>
    </w:p>
    <w:p w:rsidR="00CF486B" w:rsidRDefault="00B34135" w:rsidP="00B34135">
      <w:pPr>
        <w:rPr>
          <w:rFonts w:ascii="Tahoma" w:eastAsia="Times New Roman" w:hAnsi="Tahoma" w:cs="Tahoma"/>
          <w:i/>
          <w:iCs/>
          <w:sz w:val="18"/>
          <w:szCs w:val="18"/>
          <w:lang w:eastAsia="ro-RO"/>
        </w:rPr>
      </w:pPr>
      <w:r w:rsidRPr="00B34135">
        <w:rPr>
          <w:rFonts w:ascii="Tahoma" w:eastAsia="Times New Roman" w:hAnsi="Tahoma" w:cs="Tahoma"/>
          <w:sz w:val="18"/>
          <w:szCs w:val="18"/>
          <w:lang w:eastAsia="ro-RO"/>
        </w:rPr>
        <w:br/>
        <w:t>__________</w:t>
      </w:r>
      <w:r w:rsidRPr="00B34135">
        <w:rPr>
          <w:rFonts w:ascii="Tahoma" w:eastAsia="Times New Roman" w:hAnsi="Tahoma" w:cs="Tahoma"/>
          <w:sz w:val="18"/>
          <w:szCs w:val="18"/>
          <w:lang w:eastAsia="ro-RO"/>
        </w:rPr>
        <w:br/>
        <w:t>Legile Republicii Moldova</w:t>
      </w:r>
      <w:r w:rsidRPr="00B34135">
        <w:rPr>
          <w:rFonts w:ascii="Tahoma" w:eastAsia="Times New Roman" w:hAnsi="Tahoma" w:cs="Tahoma"/>
          <w:sz w:val="18"/>
          <w:szCs w:val="18"/>
          <w:lang w:eastAsia="ro-RO"/>
        </w:rPr>
        <w:br/>
        <w:t xml:space="preserve">218/24.10.2008 Codul </w:t>
      </w:r>
      <w:proofErr w:type="spellStart"/>
      <w:r w:rsidRPr="00B34135">
        <w:rPr>
          <w:rFonts w:ascii="Tahoma" w:eastAsia="Times New Roman" w:hAnsi="Tahoma" w:cs="Tahoma"/>
          <w:sz w:val="18"/>
          <w:szCs w:val="18"/>
          <w:lang w:eastAsia="ro-RO"/>
        </w:rPr>
        <w:t>contraventional</w:t>
      </w:r>
      <w:proofErr w:type="spellEnd"/>
      <w:r w:rsidRPr="00B34135">
        <w:rPr>
          <w:rFonts w:ascii="Tahoma" w:eastAsia="Times New Roman" w:hAnsi="Tahoma" w:cs="Tahoma"/>
          <w:sz w:val="18"/>
          <w:szCs w:val="18"/>
          <w:lang w:eastAsia="ro-RO"/>
        </w:rPr>
        <w:t xml:space="preserve"> al Republicii Moldova </w:t>
      </w:r>
      <w:r w:rsidRPr="00B34135">
        <w:rPr>
          <w:rFonts w:ascii="Tahoma" w:eastAsia="Times New Roman" w:hAnsi="Tahoma" w:cs="Tahoma"/>
          <w:i/>
          <w:iCs/>
          <w:sz w:val="18"/>
          <w:szCs w:val="18"/>
          <w:lang w:eastAsia="ro-RO"/>
        </w:rPr>
        <w:t>//Monitorul Oficial 3-6/15, 16.01.2009</w:t>
      </w:r>
    </w:p>
    <w:p w:rsid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46BCF" w:rsidRP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6B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Articolul 178.</w:t>
      </w: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Încălcarea regulilor de construire a caselor cu un nivel în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localităţile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rurale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căsuţelor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livadă în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întovărăşirile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pomicole </w:t>
      </w:r>
    </w:p>
    <w:p w:rsidR="00846BCF" w:rsidRP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Construirea caselor cu un nivel pentru o familie sau două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anexelor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gospodăreşti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ele, precum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provizorii cu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suprafeţe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 mici de 150 m</w:t>
      </w:r>
      <w:r w:rsidRPr="00846B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localităţile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rurale, </w:t>
      </w: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căsuţelor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livadă în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întovărăşirile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pomicole cu încălcarea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legislaţiei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normelor în vigoare privind autorizarea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executarea acestor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846BCF" w:rsidRP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40 la 100 de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 sau cu muncă neremunerată în folosul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comunităţii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30 la 60 de ore, cu amendă de la 80 la 120 de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cu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răspundere. </w:t>
      </w:r>
    </w:p>
    <w:p w:rsidR="00846BCF" w:rsidRP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846BCF" w:rsidRP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6B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Articolul 179.</w:t>
      </w: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neautorizate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intervenţii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neautorizate la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existente </w:t>
      </w:r>
    </w:p>
    <w:p w:rsidR="00846BCF" w:rsidRP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Executarea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orice categorie, a lucrărilor de modificare, reamenajare, consolidare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reparaţie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capitală a clădirilor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edificiilor, indiferent de tipul de proprietate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destinaţie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fără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precum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 cad sub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incidenţa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legislaţiei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calitatea în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fără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licenţă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eliberată în modul stabilit, </w:t>
      </w:r>
    </w:p>
    <w:p w:rsidR="00846BCF" w:rsidRPr="00846BCF" w:rsidRDefault="00846BCF" w:rsidP="00846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100 la 150 de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fizice, cu amendă de la 350 la 450 de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cu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răspundere cu demolarea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neautorizate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remedierea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construcţiilor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afectate în urma </w:t>
      </w:r>
      <w:proofErr w:type="spellStart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>intervenţiilor</w:t>
      </w:r>
      <w:proofErr w:type="spellEnd"/>
      <w:r w:rsidRPr="00846BC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neautorizate.</w:t>
      </w:r>
    </w:p>
    <w:p w:rsidR="00846BCF" w:rsidRDefault="00846BCF" w:rsidP="00846BCF">
      <w:pPr>
        <w:rPr>
          <w:rFonts w:ascii="Tahoma" w:eastAsia="Times New Roman" w:hAnsi="Tahoma" w:cs="Tahoma"/>
          <w:i/>
          <w:iCs/>
          <w:sz w:val="18"/>
          <w:szCs w:val="18"/>
          <w:lang w:eastAsia="ro-RO"/>
        </w:rPr>
      </w:pPr>
      <w:r w:rsidRPr="00846BCF">
        <w:rPr>
          <w:rFonts w:ascii="Tahoma" w:eastAsia="Times New Roman" w:hAnsi="Tahoma" w:cs="Tahoma"/>
          <w:sz w:val="18"/>
          <w:szCs w:val="18"/>
          <w:lang w:eastAsia="ro-RO"/>
        </w:rPr>
        <w:br/>
        <w:t>__________</w:t>
      </w:r>
      <w:r w:rsidRPr="00846BCF">
        <w:rPr>
          <w:rFonts w:ascii="Tahoma" w:eastAsia="Times New Roman" w:hAnsi="Tahoma" w:cs="Tahoma"/>
          <w:sz w:val="18"/>
          <w:szCs w:val="18"/>
          <w:lang w:eastAsia="ro-RO"/>
        </w:rPr>
        <w:br/>
        <w:t>Legile Republicii Moldova</w:t>
      </w:r>
      <w:r w:rsidRPr="00846BCF">
        <w:rPr>
          <w:rFonts w:ascii="Tahoma" w:eastAsia="Times New Roman" w:hAnsi="Tahoma" w:cs="Tahoma"/>
          <w:sz w:val="18"/>
          <w:szCs w:val="18"/>
          <w:lang w:eastAsia="ro-RO"/>
        </w:rPr>
        <w:br/>
        <w:t xml:space="preserve">218/24.10.2008 Codul </w:t>
      </w:r>
      <w:proofErr w:type="spellStart"/>
      <w:r w:rsidRPr="00846BCF">
        <w:rPr>
          <w:rFonts w:ascii="Tahoma" w:eastAsia="Times New Roman" w:hAnsi="Tahoma" w:cs="Tahoma"/>
          <w:sz w:val="18"/>
          <w:szCs w:val="18"/>
          <w:lang w:eastAsia="ro-RO"/>
        </w:rPr>
        <w:t>contraventional</w:t>
      </w:r>
      <w:proofErr w:type="spellEnd"/>
      <w:r w:rsidRPr="00846BCF">
        <w:rPr>
          <w:rFonts w:ascii="Tahoma" w:eastAsia="Times New Roman" w:hAnsi="Tahoma" w:cs="Tahoma"/>
          <w:sz w:val="18"/>
          <w:szCs w:val="18"/>
          <w:lang w:eastAsia="ro-RO"/>
        </w:rPr>
        <w:t xml:space="preserve"> al Republicii Moldova </w:t>
      </w:r>
      <w:r w:rsidRPr="00846BCF">
        <w:rPr>
          <w:rFonts w:ascii="Tahoma" w:eastAsia="Times New Roman" w:hAnsi="Tahoma" w:cs="Tahoma"/>
          <w:i/>
          <w:iCs/>
          <w:sz w:val="18"/>
          <w:szCs w:val="18"/>
          <w:lang w:eastAsia="ro-RO"/>
        </w:rPr>
        <w:t>//Monitorul Oficial 3-6/15, 16.01.2009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Articolul 273.</w:t>
      </w: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Încălcarea regulilor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Încălcarea de către întreprinderile comerciale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alimentaţie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publică, indiferent de tipul de proprietate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forma juridică de organizare, precum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către persoanele fizice care practică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 regulilor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manifestată prin: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9)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desfăşurarea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activităţii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fără notificarea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autorităţii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administraţiei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publice locale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aplicarea următoarelor amenzi: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ambulant, de la 50 la 100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de prestări servicii cu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comercială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pînă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100 m</w:t>
      </w:r>
      <w:r w:rsidRPr="00F114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100 la 200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de prestări servicii cu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comercială de la 100 la 250 m</w:t>
      </w:r>
      <w:r w:rsidRPr="00F114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200 la 300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de prestări servicii cu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comercială de la 250 la 500 m</w:t>
      </w:r>
      <w:r w:rsidRPr="00F114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300 la 400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e) în supermagazine,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hipermagazine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magazine universale, centre comerciale,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pieţe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400 la 500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10) comercializarea prin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înşelăciune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unui produs neprevăzut în contract, precum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refuzul nejustificat de a vinde un produs sau de a presta un serviciu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100 la 200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11)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desfăşurarea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oricărei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în perioada suspendării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activităţii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următoarele amenzi: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ambulant, de la 200 la 250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de prestări servicii cu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comercială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pînă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100 m</w:t>
      </w:r>
      <w:r w:rsidRPr="00F114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250 la 300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de prestări servicii cu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comercială de la 100 la 250 m</w:t>
      </w:r>
      <w:r w:rsidRPr="00F114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300 la 350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d)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de prestări servicii cu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suprafaţa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comercială de la 250 la 500 m</w:t>
      </w:r>
      <w:r w:rsidRPr="00F114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</w:t>
      </w: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350 la 450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e) în supermagazine,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hipermagazine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magazine universale, centre comerciale, în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pieţe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450 la 500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15)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desfăşurarea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activităţii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locuri sau în zone în cadrul cărora, conform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legislaţiei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regulamentului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desfăşurare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activităţilor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localitatea respectivă, aprobat de consiliul local, aceasta este interzisă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50 la 100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fizice, cu amendă de la 200 la 400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aplicată persoanei juridice;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16) necorespunderea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cu datele indicate în notificarea depusă privind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iniţierea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activităţii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sancţionează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amendă de la 100 la 200 de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convenţionale</w:t>
      </w:r>
      <w:proofErr w:type="spellEnd"/>
      <w:r w:rsidRPr="00F114D2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</w:pPr>
      <w:r w:rsidRPr="00F114D2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  <w:t>[Art.273 modificat prin Legea nr.153 din 01.07.2016, în vigoare 19.07.2016]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</w:pPr>
      <w:r w:rsidRPr="00F114D2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  <w:t xml:space="preserve">[Art.273 modificat prin Legea nr.218 din 03.12.2015, în vigoare 30.01.2016]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</w:pPr>
      <w:r w:rsidRPr="00F114D2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  <w:t xml:space="preserve">[Art.273 modificat prin Legea nr.41 din 21.03.2013, în vigoare 12.04.2013]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</w:pPr>
      <w:r w:rsidRPr="00F114D2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ro-RO"/>
        </w:rPr>
        <w:t xml:space="preserve">[Art.273 modificat prin Legea nr.101 din 13.12.2012, în vigoare 18.01.2013] </w:t>
      </w:r>
    </w:p>
    <w:p w:rsidR="00F114D2" w:rsidRPr="00F114D2" w:rsidRDefault="00F114D2" w:rsidP="00F11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114D2" w:rsidRDefault="00F114D2" w:rsidP="00F114D2">
      <w:r w:rsidRPr="00F114D2">
        <w:rPr>
          <w:rFonts w:ascii="Tahoma" w:eastAsia="Times New Roman" w:hAnsi="Tahoma" w:cs="Tahoma"/>
          <w:sz w:val="18"/>
          <w:szCs w:val="18"/>
          <w:lang w:eastAsia="ro-RO"/>
        </w:rPr>
        <w:br/>
        <w:t>__________</w:t>
      </w:r>
      <w:r w:rsidRPr="00F114D2">
        <w:rPr>
          <w:rFonts w:ascii="Tahoma" w:eastAsia="Times New Roman" w:hAnsi="Tahoma" w:cs="Tahoma"/>
          <w:sz w:val="18"/>
          <w:szCs w:val="18"/>
          <w:lang w:eastAsia="ro-RO"/>
        </w:rPr>
        <w:br/>
        <w:t>Legile Republicii Moldova</w:t>
      </w:r>
      <w:r w:rsidRPr="00F114D2">
        <w:rPr>
          <w:rFonts w:ascii="Tahoma" w:eastAsia="Times New Roman" w:hAnsi="Tahoma" w:cs="Tahoma"/>
          <w:sz w:val="18"/>
          <w:szCs w:val="18"/>
          <w:lang w:eastAsia="ro-RO"/>
        </w:rPr>
        <w:br/>
        <w:t xml:space="preserve">218/24.10.2008 Codul </w:t>
      </w:r>
      <w:proofErr w:type="spellStart"/>
      <w:r w:rsidRPr="00F114D2">
        <w:rPr>
          <w:rFonts w:ascii="Tahoma" w:eastAsia="Times New Roman" w:hAnsi="Tahoma" w:cs="Tahoma"/>
          <w:sz w:val="18"/>
          <w:szCs w:val="18"/>
          <w:lang w:eastAsia="ro-RO"/>
        </w:rPr>
        <w:t>contraventional</w:t>
      </w:r>
      <w:proofErr w:type="spellEnd"/>
      <w:r w:rsidRPr="00F114D2">
        <w:rPr>
          <w:rFonts w:ascii="Tahoma" w:eastAsia="Times New Roman" w:hAnsi="Tahoma" w:cs="Tahoma"/>
          <w:sz w:val="18"/>
          <w:szCs w:val="18"/>
          <w:lang w:eastAsia="ro-RO"/>
        </w:rPr>
        <w:t xml:space="preserve"> al Republicii Moldova </w:t>
      </w:r>
      <w:r w:rsidRPr="00F114D2">
        <w:rPr>
          <w:rFonts w:ascii="Tahoma" w:eastAsia="Times New Roman" w:hAnsi="Tahoma" w:cs="Tahoma"/>
          <w:i/>
          <w:iCs/>
          <w:sz w:val="18"/>
          <w:szCs w:val="18"/>
          <w:lang w:eastAsia="ro-RO"/>
        </w:rPr>
        <w:t>//Monitorul Oficial 3-6/15, 16.01.2009</w:t>
      </w:r>
    </w:p>
    <w:sectPr w:rsidR="00F11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7472"/>
    <w:multiLevelType w:val="hybridMultilevel"/>
    <w:tmpl w:val="B82E3DF6"/>
    <w:lvl w:ilvl="0" w:tplc="9C5888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623D02"/>
    <w:multiLevelType w:val="hybridMultilevel"/>
    <w:tmpl w:val="C7686BA0"/>
    <w:lvl w:ilvl="0" w:tplc="136C8348">
      <w:start w:val="1"/>
      <w:numFmt w:val="decimal"/>
      <w:lvlText w:val="(%1)"/>
      <w:lvlJc w:val="left"/>
      <w:pPr>
        <w:ind w:left="22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5"/>
    <w:rsid w:val="00296698"/>
    <w:rsid w:val="0039484F"/>
    <w:rsid w:val="00615CB0"/>
    <w:rsid w:val="00846BCF"/>
    <w:rsid w:val="00AF14B5"/>
    <w:rsid w:val="00B34135"/>
    <w:rsid w:val="00CA5FFF"/>
    <w:rsid w:val="00CF486B"/>
    <w:rsid w:val="00D42138"/>
    <w:rsid w:val="00D56825"/>
    <w:rsid w:val="00F04A40"/>
    <w:rsid w:val="00F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DCF"/>
  <w15:chartTrackingRefBased/>
  <w15:docId w15:val="{DF1E3DAF-C244-4E9C-9759-6B7C27A9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1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md">
    <w:name w:val="md"/>
    <w:basedOn w:val="Normal"/>
    <w:rsid w:val="00F114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D421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1630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Furdui</dc:creator>
  <cp:keywords/>
  <dc:description/>
  <cp:lastModifiedBy>Viorel Furdui</cp:lastModifiedBy>
  <cp:revision>1</cp:revision>
  <dcterms:created xsi:type="dcterms:W3CDTF">2016-08-01T07:56:00Z</dcterms:created>
  <dcterms:modified xsi:type="dcterms:W3CDTF">2016-08-01T08:07:00Z</dcterms:modified>
</cp:coreProperties>
</file>